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4DEF" w14:textId="77777777" w:rsidR="00F913E8" w:rsidRPr="00904340" w:rsidRDefault="006806A3" w:rsidP="007F6599">
      <w:pPr>
        <w:pStyle w:val="Heading1"/>
        <w:jc w:val="center"/>
        <w:rPr>
          <w:rFonts w:ascii="Times New Roman" w:hAnsi="Times New Roman"/>
          <w:b/>
          <w:sz w:val="22"/>
          <w:szCs w:val="22"/>
          <w:u w:val="none"/>
        </w:rPr>
      </w:pPr>
      <w:r w:rsidRPr="00904340">
        <w:rPr>
          <w:rFonts w:ascii="Times New Roman" w:hAnsi="Times New Roman"/>
          <w:b/>
          <w:sz w:val="22"/>
          <w:szCs w:val="22"/>
          <w:u w:val="none"/>
        </w:rPr>
        <w:t>BOROUGH OF SEA GIRT</w:t>
      </w:r>
    </w:p>
    <w:p w14:paraId="581BD4E4" w14:textId="0AEE712C" w:rsidR="00FE20BF" w:rsidRPr="00904340" w:rsidRDefault="00F913E8" w:rsidP="00912090">
      <w:pPr>
        <w:autoSpaceDE w:val="0"/>
        <w:autoSpaceDN w:val="0"/>
        <w:adjustRightInd w:val="0"/>
        <w:ind w:left="720" w:right="990"/>
        <w:jc w:val="center"/>
        <w:rPr>
          <w:b/>
          <w:bCs/>
          <w:sz w:val="22"/>
          <w:szCs w:val="22"/>
          <w:u w:val="single"/>
        </w:rPr>
      </w:pPr>
      <w:proofErr w:type="gramStart"/>
      <w:r w:rsidRPr="00904340">
        <w:rPr>
          <w:b/>
          <w:bCs/>
          <w:sz w:val="22"/>
          <w:szCs w:val="22"/>
          <w:u w:val="single"/>
        </w:rPr>
        <w:t>RESOLUTION NO.</w:t>
      </w:r>
      <w:proofErr w:type="gramEnd"/>
      <w:r w:rsidR="008534E5" w:rsidRPr="00904340">
        <w:rPr>
          <w:b/>
          <w:bCs/>
          <w:sz w:val="22"/>
          <w:szCs w:val="22"/>
          <w:u w:val="single"/>
        </w:rPr>
        <w:t xml:space="preserve"> </w:t>
      </w:r>
      <w:r w:rsidR="00904340" w:rsidRPr="00904340">
        <w:rPr>
          <w:b/>
          <w:bCs/>
          <w:sz w:val="22"/>
          <w:szCs w:val="22"/>
          <w:u w:val="single"/>
        </w:rPr>
        <w:t>_</w:t>
      </w:r>
      <w:r w:rsidR="002F2C57">
        <w:rPr>
          <w:b/>
          <w:bCs/>
          <w:sz w:val="22"/>
          <w:szCs w:val="22"/>
          <w:u w:val="single"/>
        </w:rPr>
        <w:t>213</w:t>
      </w:r>
      <w:bookmarkStart w:id="0" w:name="_GoBack"/>
      <w:bookmarkEnd w:id="0"/>
      <w:r w:rsidR="00904340" w:rsidRPr="00904340">
        <w:rPr>
          <w:b/>
          <w:bCs/>
          <w:sz w:val="22"/>
          <w:szCs w:val="22"/>
          <w:u w:val="single"/>
        </w:rPr>
        <w:t>--2020</w:t>
      </w:r>
    </w:p>
    <w:p w14:paraId="3EC30D77" w14:textId="77777777" w:rsidR="00FE20BF" w:rsidRPr="00904340" w:rsidRDefault="00FE20BF" w:rsidP="00912090">
      <w:pPr>
        <w:autoSpaceDE w:val="0"/>
        <w:autoSpaceDN w:val="0"/>
        <w:adjustRightInd w:val="0"/>
        <w:ind w:left="720" w:right="990"/>
        <w:jc w:val="center"/>
        <w:rPr>
          <w:b/>
          <w:bCs/>
          <w:sz w:val="22"/>
          <w:szCs w:val="22"/>
        </w:rPr>
      </w:pPr>
    </w:p>
    <w:p w14:paraId="5BE85184" w14:textId="6B0D1C50" w:rsidR="00F913E8" w:rsidRPr="00904340" w:rsidRDefault="00F913E8" w:rsidP="006E72BB">
      <w:pPr>
        <w:autoSpaceDE w:val="0"/>
        <w:autoSpaceDN w:val="0"/>
        <w:adjustRightInd w:val="0"/>
        <w:ind w:left="720" w:right="720"/>
        <w:jc w:val="both"/>
        <w:rPr>
          <w:b/>
          <w:bCs/>
          <w:sz w:val="22"/>
          <w:szCs w:val="22"/>
          <w:u w:val="single"/>
        </w:rPr>
      </w:pPr>
      <w:r w:rsidRPr="00904340">
        <w:rPr>
          <w:b/>
          <w:bCs/>
          <w:sz w:val="22"/>
          <w:szCs w:val="22"/>
        </w:rPr>
        <w:t>RESOLUTION AUTHORIZING</w:t>
      </w:r>
      <w:r w:rsidR="00797D7D" w:rsidRPr="00904340">
        <w:rPr>
          <w:b/>
          <w:bCs/>
          <w:sz w:val="22"/>
          <w:szCs w:val="22"/>
        </w:rPr>
        <w:t xml:space="preserve"> </w:t>
      </w:r>
      <w:r w:rsidR="00611F0A" w:rsidRPr="00904340">
        <w:rPr>
          <w:b/>
          <w:bCs/>
          <w:sz w:val="22"/>
          <w:szCs w:val="22"/>
        </w:rPr>
        <w:t xml:space="preserve">THE </w:t>
      </w:r>
      <w:r w:rsidR="002E475E" w:rsidRPr="00904340">
        <w:rPr>
          <w:b/>
          <w:bCs/>
          <w:sz w:val="22"/>
          <w:szCs w:val="22"/>
        </w:rPr>
        <w:t>BOROUGH OF SEA GIRT</w:t>
      </w:r>
      <w:r w:rsidR="008E0626" w:rsidRPr="00904340">
        <w:rPr>
          <w:b/>
          <w:bCs/>
          <w:sz w:val="22"/>
          <w:szCs w:val="22"/>
        </w:rPr>
        <w:t xml:space="preserve"> TO ENTER INTO </w:t>
      </w:r>
      <w:r w:rsidR="00E010E9" w:rsidRPr="00904340">
        <w:rPr>
          <w:b/>
          <w:bCs/>
          <w:sz w:val="22"/>
          <w:szCs w:val="22"/>
        </w:rPr>
        <w:t>A</w:t>
      </w:r>
      <w:r w:rsidR="008E0626" w:rsidRPr="00904340">
        <w:rPr>
          <w:b/>
          <w:bCs/>
          <w:sz w:val="22"/>
          <w:szCs w:val="22"/>
        </w:rPr>
        <w:t xml:space="preserve"> SETTLEMENT AGREEMENT</w:t>
      </w:r>
      <w:r w:rsidR="00611F0A" w:rsidRPr="00904340">
        <w:rPr>
          <w:b/>
          <w:bCs/>
          <w:sz w:val="22"/>
          <w:szCs w:val="22"/>
        </w:rPr>
        <w:t xml:space="preserve"> WITH </w:t>
      </w:r>
      <w:r w:rsidR="002E475E" w:rsidRPr="00904340">
        <w:rPr>
          <w:b/>
          <w:bCs/>
          <w:sz w:val="22"/>
          <w:szCs w:val="22"/>
        </w:rPr>
        <w:t xml:space="preserve">501 WASHINGTON BLVD, LLC, 503 WASHINGTON BLVD., LLC, SITCO SEA GIRT, LLC, </w:t>
      </w:r>
      <w:r w:rsidR="00455646" w:rsidRPr="00904340">
        <w:rPr>
          <w:b/>
          <w:bCs/>
          <w:sz w:val="22"/>
          <w:szCs w:val="22"/>
        </w:rPr>
        <w:t>AND</w:t>
      </w:r>
      <w:r w:rsidR="002E475E" w:rsidRPr="00904340">
        <w:rPr>
          <w:b/>
          <w:bCs/>
          <w:sz w:val="22"/>
          <w:szCs w:val="22"/>
        </w:rPr>
        <w:t xml:space="preserve"> SEA GIRT FIFTH AVENUE LLC</w:t>
      </w:r>
    </w:p>
    <w:p w14:paraId="7A8C1322" w14:textId="77777777" w:rsidR="006E72BB" w:rsidRPr="00904340" w:rsidRDefault="006E72BB" w:rsidP="006E72BB">
      <w:pPr>
        <w:autoSpaceDE w:val="0"/>
        <w:autoSpaceDN w:val="0"/>
        <w:adjustRightInd w:val="0"/>
        <w:ind w:left="720" w:right="720"/>
        <w:jc w:val="both"/>
        <w:rPr>
          <w:b/>
          <w:bCs/>
          <w:sz w:val="22"/>
          <w:szCs w:val="22"/>
          <w:u w:val="single"/>
        </w:rPr>
      </w:pPr>
    </w:p>
    <w:p w14:paraId="6AC70BEA" w14:textId="77777777" w:rsidR="00353CA1" w:rsidRPr="00904340" w:rsidRDefault="00F913E8" w:rsidP="00302365">
      <w:pPr>
        <w:pStyle w:val="BodyTextDbl"/>
        <w:spacing w:after="240" w:line="240" w:lineRule="auto"/>
        <w:jc w:val="both"/>
        <w:rPr>
          <w:sz w:val="22"/>
          <w:szCs w:val="22"/>
        </w:rPr>
      </w:pPr>
      <w:r w:rsidRPr="00904340">
        <w:rPr>
          <w:b/>
          <w:bCs/>
          <w:sz w:val="22"/>
          <w:szCs w:val="22"/>
        </w:rPr>
        <w:t>WHEREAS</w:t>
      </w:r>
      <w:r w:rsidRPr="00904340">
        <w:rPr>
          <w:bCs/>
          <w:sz w:val="22"/>
          <w:szCs w:val="22"/>
        </w:rPr>
        <w:t>,</w:t>
      </w:r>
      <w:r w:rsidRPr="00904340">
        <w:rPr>
          <w:sz w:val="22"/>
          <w:szCs w:val="22"/>
        </w:rPr>
        <w:t xml:space="preserve"> </w:t>
      </w:r>
      <w:r w:rsidR="00455646" w:rsidRPr="00904340">
        <w:rPr>
          <w:sz w:val="22"/>
          <w:szCs w:val="22"/>
        </w:rPr>
        <w:t>501 Washington Blvd, LLC</w:t>
      </w:r>
      <w:r w:rsidR="00640999" w:rsidRPr="00904340">
        <w:rPr>
          <w:sz w:val="22"/>
          <w:szCs w:val="22"/>
        </w:rPr>
        <w:t xml:space="preserve"> (“501 Washington”)</w:t>
      </w:r>
      <w:r w:rsidR="00455646" w:rsidRPr="00904340">
        <w:rPr>
          <w:sz w:val="22"/>
          <w:szCs w:val="22"/>
        </w:rPr>
        <w:t>, 503 Washington Blvd.</w:t>
      </w:r>
      <w:r w:rsidR="00640999" w:rsidRPr="00904340">
        <w:rPr>
          <w:sz w:val="22"/>
          <w:szCs w:val="22"/>
        </w:rPr>
        <w:t>, LLC (“503 Washington”)</w:t>
      </w:r>
      <w:r w:rsidR="00455646" w:rsidRPr="00904340">
        <w:rPr>
          <w:sz w:val="22"/>
          <w:szCs w:val="22"/>
        </w:rPr>
        <w:t>, S</w:t>
      </w:r>
      <w:r w:rsidR="00640999" w:rsidRPr="00904340">
        <w:rPr>
          <w:sz w:val="22"/>
          <w:szCs w:val="22"/>
        </w:rPr>
        <w:t>ITCO</w:t>
      </w:r>
      <w:r w:rsidR="00455646" w:rsidRPr="00904340">
        <w:rPr>
          <w:sz w:val="22"/>
          <w:szCs w:val="22"/>
        </w:rPr>
        <w:t xml:space="preserve"> Sea Girt, LLC</w:t>
      </w:r>
      <w:r w:rsidR="00640999" w:rsidRPr="00904340">
        <w:rPr>
          <w:sz w:val="22"/>
          <w:szCs w:val="22"/>
        </w:rPr>
        <w:t xml:space="preserve"> (“SITCO”)</w:t>
      </w:r>
      <w:r w:rsidR="00455646" w:rsidRPr="00904340">
        <w:rPr>
          <w:sz w:val="22"/>
          <w:szCs w:val="22"/>
        </w:rPr>
        <w:t>, and Sea Girt Fifth Avenue LLC</w:t>
      </w:r>
      <w:r w:rsidR="00045A09" w:rsidRPr="00904340">
        <w:rPr>
          <w:sz w:val="22"/>
          <w:szCs w:val="22"/>
        </w:rPr>
        <w:t xml:space="preserve"> </w:t>
      </w:r>
      <w:r w:rsidR="00640999" w:rsidRPr="00904340">
        <w:rPr>
          <w:sz w:val="22"/>
          <w:szCs w:val="22"/>
        </w:rPr>
        <w:t xml:space="preserve">(“Sea Girt Fifth”) </w:t>
      </w:r>
      <w:r w:rsidR="00045A09" w:rsidRPr="00904340">
        <w:rPr>
          <w:sz w:val="22"/>
          <w:szCs w:val="22"/>
        </w:rPr>
        <w:t xml:space="preserve">(collectively, the “Developer”) filed a </w:t>
      </w:r>
      <w:r w:rsidR="00045A09" w:rsidRPr="00904340">
        <w:rPr>
          <w:sz w:val="22"/>
          <w:szCs w:val="22"/>
          <w:u w:val="single"/>
        </w:rPr>
        <w:t>Mount Laurel</w:t>
      </w:r>
      <w:r w:rsidR="00045A09" w:rsidRPr="00904340">
        <w:rPr>
          <w:sz w:val="22"/>
          <w:szCs w:val="22"/>
        </w:rPr>
        <w:t xml:space="preserve"> exclusionary zoning suit </w:t>
      </w:r>
      <w:r w:rsidR="00670365" w:rsidRPr="00904340">
        <w:rPr>
          <w:sz w:val="22"/>
          <w:szCs w:val="22"/>
        </w:rPr>
        <w:t>with</w:t>
      </w:r>
      <w:r w:rsidR="00045A09" w:rsidRPr="00904340">
        <w:rPr>
          <w:sz w:val="22"/>
          <w:szCs w:val="22"/>
        </w:rPr>
        <w:t xml:space="preserve"> the Superior Court of New Jersey, entitled </w:t>
      </w:r>
      <w:r w:rsidR="00045A09" w:rsidRPr="00904340">
        <w:rPr>
          <w:sz w:val="22"/>
          <w:szCs w:val="22"/>
          <w:u w:val="single"/>
        </w:rPr>
        <w:t xml:space="preserve">501 Washington Blvd, LLC, 503 Washington Blvd., LLC, Sea Girt Fifth Avenue LLC, </w:t>
      </w:r>
      <w:proofErr w:type="spellStart"/>
      <w:r w:rsidR="00045A09" w:rsidRPr="00904340">
        <w:rPr>
          <w:sz w:val="22"/>
          <w:szCs w:val="22"/>
          <w:u w:val="single"/>
        </w:rPr>
        <w:t>Sitco</w:t>
      </w:r>
      <w:proofErr w:type="spellEnd"/>
      <w:r w:rsidR="00045A09" w:rsidRPr="00904340">
        <w:rPr>
          <w:sz w:val="22"/>
          <w:szCs w:val="22"/>
          <w:u w:val="single"/>
        </w:rPr>
        <w:t xml:space="preserve"> Sea Girt, LLC v. Borough of Sea Girt, Borough Council of Sea Girt, and Sea Girt Planning Board</w:t>
      </w:r>
      <w:r w:rsidR="00045A09" w:rsidRPr="00904340">
        <w:rPr>
          <w:sz w:val="22"/>
          <w:szCs w:val="22"/>
        </w:rPr>
        <w:t>, Docket No. MON-L-000102-20</w:t>
      </w:r>
      <w:r w:rsidR="00670365" w:rsidRPr="00904340">
        <w:rPr>
          <w:sz w:val="22"/>
          <w:szCs w:val="22"/>
        </w:rPr>
        <w:t>, seeking a builder’s remedy against the Borough of Sea Girt (the “Borough”), the Borough Council of Sea Girt (the “Borough Council”), and the Planning Board of the Borough of Sea Girt (the “Board”)</w:t>
      </w:r>
      <w:r w:rsidR="001B4A3D" w:rsidRPr="00904340">
        <w:rPr>
          <w:sz w:val="22"/>
          <w:szCs w:val="22"/>
        </w:rPr>
        <w:t xml:space="preserve"> (the “Builder’s Remedy Action”)</w:t>
      </w:r>
      <w:r w:rsidR="00045A09" w:rsidRPr="00904340">
        <w:rPr>
          <w:sz w:val="22"/>
          <w:szCs w:val="22"/>
        </w:rPr>
        <w:t>; and</w:t>
      </w:r>
    </w:p>
    <w:p w14:paraId="712106EB" w14:textId="77777777" w:rsidR="006E72BB" w:rsidRPr="00904340" w:rsidRDefault="006E72BB" w:rsidP="00302365">
      <w:pPr>
        <w:pStyle w:val="BodyTextDbl"/>
        <w:spacing w:after="240" w:line="240" w:lineRule="auto"/>
        <w:jc w:val="both"/>
        <w:rPr>
          <w:sz w:val="22"/>
          <w:szCs w:val="22"/>
        </w:rPr>
      </w:pPr>
      <w:r w:rsidRPr="00904340">
        <w:rPr>
          <w:b/>
          <w:sz w:val="22"/>
          <w:szCs w:val="22"/>
        </w:rPr>
        <w:t>WHEREAS</w:t>
      </w:r>
      <w:r w:rsidRPr="00904340">
        <w:rPr>
          <w:sz w:val="22"/>
          <w:szCs w:val="22"/>
        </w:rPr>
        <w:t>, 501 Washington is the owner of a property within the Borough located at 501 Washington Boulevard and identified as Block 76, Lot 1 (the “501 Property”); 503 Washington is the owner of a property within the Borough located at 503 Washington Boulevard and identified as Block 76, Lot 2 (the “503 Property”); SITCO is the owner of a property within the Borough located at 500 Washington Boulevard and identified as Block 77, Lot 16 (the “500 Property”); and Sea Girt Fifth is the owner of a property within the Borough located at 905 Fifth Avenue and identified as Block 77, Lot 17 (the “Fifth Property”)</w:t>
      </w:r>
      <w:r w:rsidR="00DB67AA" w:rsidRPr="00904340">
        <w:rPr>
          <w:sz w:val="22"/>
          <w:szCs w:val="22"/>
        </w:rPr>
        <w:t xml:space="preserve"> (collectively, the “Properties”)</w:t>
      </w:r>
      <w:r w:rsidRPr="00904340">
        <w:rPr>
          <w:sz w:val="22"/>
          <w:szCs w:val="22"/>
        </w:rPr>
        <w:t>; and</w:t>
      </w:r>
    </w:p>
    <w:p w14:paraId="1B134967" w14:textId="075FBDF2" w:rsidR="00797F6E" w:rsidRPr="00904340" w:rsidRDefault="00797F6E" w:rsidP="00222FF5">
      <w:pPr>
        <w:pStyle w:val="BodyTextDbl"/>
        <w:spacing w:after="240" w:line="240" w:lineRule="auto"/>
        <w:jc w:val="both"/>
        <w:rPr>
          <w:sz w:val="22"/>
          <w:szCs w:val="22"/>
        </w:rPr>
      </w:pPr>
      <w:r w:rsidRPr="00904340">
        <w:rPr>
          <w:b/>
          <w:sz w:val="22"/>
          <w:szCs w:val="22"/>
        </w:rPr>
        <w:t>WHEREAS</w:t>
      </w:r>
      <w:r w:rsidRPr="00904340">
        <w:rPr>
          <w:sz w:val="22"/>
          <w:szCs w:val="22"/>
        </w:rPr>
        <w:t>, the 501 Property and the 503 Property are located on the north side of Washington Avenue (the “North Propert</w:t>
      </w:r>
      <w:r w:rsidR="00C27045" w:rsidRPr="00904340">
        <w:rPr>
          <w:sz w:val="22"/>
          <w:szCs w:val="22"/>
        </w:rPr>
        <w:t>ies</w:t>
      </w:r>
      <w:r w:rsidRPr="00904340">
        <w:rPr>
          <w:sz w:val="22"/>
          <w:szCs w:val="22"/>
        </w:rPr>
        <w:t>”) and the 500 Property and the Fifth Property are located on the south side of Washington Avenue (the “South Propert</w:t>
      </w:r>
      <w:r w:rsidR="00B16C28" w:rsidRPr="00904340">
        <w:rPr>
          <w:sz w:val="22"/>
          <w:szCs w:val="22"/>
        </w:rPr>
        <w:t>ies</w:t>
      </w:r>
      <w:r w:rsidRPr="00904340">
        <w:rPr>
          <w:sz w:val="22"/>
          <w:szCs w:val="22"/>
        </w:rPr>
        <w:t>”); and</w:t>
      </w:r>
    </w:p>
    <w:p w14:paraId="1697DC36" w14:textId="45294BDC" w:rsidR="009F13A6" w:rsidRPr="00904340" w:rsidRDefault="009F13A6" w:rsidP="00222FF5">
      <w:pPr>
        <w:pStyle w:val="BodyTextDbl"/>
        <w:spacing w:after="240" w:line="240" w:lineRule="auto"/>
        <w:jc w:val="both"/>
        <w:rPr>
          <w:sz w:val="22"/>
          <w:szCs w:val="22"/>
        </w:rPr>
      </w:pPr>
      <w:r w:rsidRPr="00904340">
        <w:rPr>
          <w:b/>
          <w:sz w:val="22"/>
          <w:szCs w:val="22"/>
        </w:rPr>
        <w:t>WHEREAS</w:t>
      </w:r>
      <w:r w:rsidRPr="00904340">
        <w:rPr>
          <w:sz w:val="22"/>
          <w:szCs w:val="22"/>
        </w:rPr>
        <w:t>, the Developer was seeking  through the Builder’s Remedy Action to construct a total of  42 residential units on the North Properties and South Properties with a fifteen percent set aside for low and moderate</w:t>
      </w:r>
      <w:r w:rsidR="00050A0B" w:rsidRPr="00904340">
        <w:rPr>
          <w:sz w:val="22"/>
          <w:szCs w:val="22"/>
        </w:rPr>
        <w:t>-</w:t>
      </w:r>
      <w:r w:rsidRPr="00904340">
        <w:rPr>
          <w:sz w:val="22"/>
          <w:szCs w:val="22"/>
        </w:rPr>
        <w:t xml:space="preserve">income households; and  </w:t>
      </w:r>
    </w:p>
    <w:p w14:paraId="4DF3BAC6" w14:textId="7477E805" w:rsidR="00797F6E" w:rsidRPr="00904340" w:rsidRDefault="00797F6E" w:rsidP="00222FF5">
      <w:pPr>
        <w:pStyle w:val="BodyTextDbl"/>
        <w:spacing w:after="240" w:line="240" w:lineRule="auto"/>
        <w:jc w:val="both"/>
        <w:rPr>
          <w:sz w:val="22"/>
          <w:szCs w:val="22"/>
        </w:rPr>
      </w:pPr>
      <w:r w:rsidRPr="00904340">
        <w:rPr>
          <w:b/>
          <w:sz w:val="22"/>
          <w:szCs w:val="22"/>
        </w:rPr>
        <w:t>WHEREAS</w:t>
      </w:r>
      <w:r w:rsidRPr="00904340">
        <w:rPr>
          <w:sz w:val="22"/>
          <w:szCs w:val="22"/>
        </w:rPr>
        <w:t xml:space="preserve">, as a result of settlement negotiations with the Borough, </w:t>
      </w:r>
      <w:r w:rsidR="00536AE9" w:rsidRPr="00904340">
        <w:rPr>
          <w:sz w:val="22"/>
          <w:szCs w:val="22"/>
        </w:rPr>
        <w:t xml:space="preserve">the </w:t>
      </w:r>
      <w:r w:rsidRPr="00904340">
        <w:rPr>
          <w:sz w:val="22"/>
          <w:szCs w:val="22"/>
        </w:rPr>
        <w:t xml:space="preserve">Developer </w:t>
      </w:r>
      <w:r w:rsidR="006C2A19" w:rsidRPr="00904340">
        <w:rPr>
          <w:sz w:val="22"/>
          <w:szCs w:val="22"/>
        </w:rPr>
        <w:t>has proposed</w:t>
      </w:r>
      <w:r w:rsidRPr="00904340">
        <w:rPr>
          <w:sz w:val="22"/>
          <w:szCs w:val="22"/>
        </w:rPr>
        <w:t xml:space="preserve"> </w:t>
      </w:r>
      <w:r w:rsidR="00050A0B" w:rsidRPr="00904340">
        <w:rPr>
          <w:sz w:val="22"/>
          <w:szCs w:val="22"/>
        </w:rPr>
        <w:t xml:space="preserve">and the Borough agreed </w:t>
      </w:r>
      <w:r w:rsidRPr="00904340">
        <w:rPr>
          <w:sz w:val="22"/>
          <w:szCs w:val="22"/>
        </w:rPr>
        <w:t>to</w:t>
      </w:r>
      <w:r w:rsidR="00050A0B" w:rsidRPr="00904340">
        <w:rPr>
          <w:sz w:val="22"/>
          <w:szCs w:val="22"/>
        </w:rPr>
        <w:t xml:space="preserve"> permit the</w:t>
      </w:r>
      <w:r w:rsidRPr="00904340">
        <w:rPr>
          <w:sz w:val="22"/>
          <w:szCs w:val="22"/>
        </w:rPr>
        <w:t xml:space="preserve"> develop</w:t>
      </w:r>
      <w:r w:rsidR="00050A0B" w:rsidRPr="00904340">
        <w:rPr>
          <w:sz w:val="22"/>
          <w:szCs w:val="22"/>
        </w:rPr>
        <w:t>ment of</w:t>
      </w:r>
      <w:r w:rsidRPr="00904340">
        <w:rPr>
          <w:sz w:val="22"/>
          <w:szCs w:val="22"/>
        </w:rPr>
        <w:t xml:space="preserve"> the North Properties</w:t>
      </w:r>
      <w:r w:rsidR="00E80D12" w:rsidRPr="00904340">
        <w:rPr>
          <w:sz w:val="22"/>
          <w:szCs w:val="22"/>
        </w:rPr>
        <w:t xml:space="preserve"> and South Properties with a total of 19 residential units broken down as follows:</w:t>
      </w:r>
      <w:r w:rsidRPr="00904340">
        <w:rPr>
          <w:sz w:val="22"/>
          <w:szCs w:val="22"/>
        </w:rPr>
        <w:t xml:space="preserve">  </w:t>
      </w:r>
      <w:r w:rsidR="00E80D12" w:rsidRPr="00904340">
        <w:rPr>
          <w:sz w:val="22"/>
          <w:szCs w:val="22"/>
        </w:rPr>
        <w:t xml:space="preserve">a </w:t>
      </w:r>
      <w:r w:rsidRPr="00904340">
        <w:rPr>
          <w:sz w:val="22"/>
          <w:szCs w:val="22"/>
        </w:rPr>
        <w:t xml:space="preserve">mixed-use inclusionary development consisting of nine (9) multi-family units and office/commercial use (the “North Development”) and to </w:t>
      </w:r>
      <w:r w:rsidR="00050A0B" w:rsidRPr="00904340">
        <w:rPr>
          <w:sz w:val="22"/>
          <w:szCs w:val="22"/>
        </w:rPr>
        <w:t xml:space="preserve">permit the </w:t>
      </w:r>
      <w:r w:rsidRPr="00904340">
        <w:rPr>
          <w:sz w:val="22"/>
          <w:szCs w:val="22"/>
        </w:rPr>
        <w:t>develop</w:t>
      </w:r>
      <w:r w:rsidR="00050A0B" w:rsidRPr="00904340">
        <w:rPr>
          <w:sz w:val="22"/>
          <w:szCs w:val="22"/>
        </w:rPr>
        <w:t>ment of</w:t>
      </w:r>
      <w:r w:rsidRPr="00904340">
        <w:rPr>
          <w:sz w:val="22"/>
          <w:szCs w:val="22"/>
        </w:rPr>
        <w:t xml:space="preserve"> the South Properties with a multi-family building consisting of ten (10) market-rate residential units (the “South Development”)</w:t>
      </w:r>
      <w:r w:rsidR="00380AA4" w:rsidRPr="00904340">
        <w:rPr>
          <w:sz w:val="22"/>
          <w:szCs w:val="22"/>
        </w:rPr>
        <w:t xml:space="preserve">, each </w:t>
      </w:r>
      <w:r w:rsidRPr="00904340">
        <w:rPr>
          <w:sz w:val="22"/>
          <w:szCs w:val="22"/>
        </w:rPr>
        <w:t xml:space="preserve">as generally shown in the concept plans and elevations attached </w:t>
      </w:r>
      <w:r w:rsidR="00380AA4" w:rsidRPr="00904340">
        <w:rPr>
          <w:sz w:val="22"/>
          <w:szCs w:val="22"/>
        </w:rPr>
        <w:t>to the Settlement Agreement (as hereinafter defined)</w:t>
      </w:r>
      <w:r w:rsidRPr="00904340">
        <w:rPr>
          <w:sz w:val="22"/>
          <w:szCs w:val="22"/>
        </w:rPr>
        <w:t>; and</w:t>
      </w:r>
    </w:p>
    <w:p w14:paraId="1A512D47" w14:textId="7101F1C7" w:rsidR="00797F6E" w:rsidRPr="00904340" w:rsidRDefault="00797F6E" w:rsidP="00222FF5">
      <w:pPr>
        <w:pStyle w:val="BodyTextDbl"/>
        <w:spacing w:after="240" w:line="240" w:lineRule="auto"/>
        <w:jc w:val="both"/>
        <w:rPr>
          <w:sz w:val="22"/>
          <w:szCs w:val="22"/>
        </w:rPr>
      </w:pPr>
      <w:r w:rsidRPr="00904340">
        <w:rPr>
          <w:b/>
          <w:sz w:val="22"/>
          <w:szCs w:val="22"/>
        </w:rPr>
        <w:t>WHEREAS</w:t>
      </w:r>
      <w:r w:rsidRPr="00904340">
        <w:rPr>
          <w:sz w:val="22"/>
          <w:szCs w:val="22"/>
        </w:rPr>
        <w:t>,</w:t>
      </w:r>
      <w:r w:rsidR="00E768F0" w:rsidRPr="00904340">
        <w:rPr>
          <w:sz w:val="22"/>
          <w:szCs w:val="22"/>
        </w:rPr>
        <w:t xml:space="preserve"> as part of the settlement,</w:t>
      </w:r>
      <w:r w:rsidRPr="00904340">
        <w:rPr>
          <w:sz w:val="22"/>
          <w:szCs w:val="22"/>
        </w:rPr>
        <w:t xml:space="preserve"> </w:t>
      </w:r>
      <w:r w:rsidR="00B47FAD" w:rsidRPr="00904340">
        <w:rPr>
          <w:sz w:val="22"/>
          <w:szCs w:val="22"/>
        </w:rPr>
        <w:t xml:space="preserve">the </w:t>
      </w:r>
      <w:r w:rsidRPr="00904340">
        <w:rPr>
          <w:sz w:val="22"/>
          <w:szCs w:val="22"/>
        </w:rPr>
        <w:t xml:space="preserve">Developer </w:t>
      </w:r>
      <w:r w:rsidR="00967F1B" w:rsidRPr="00904340">
        <w:rPr>
          <w:sz w:val="22"/>
          <w:szCs w:val="22"/>
        </w:rPr>
        <w:t xml:space="preserve">has further </w:t>
      </w:r>
      <w:r w:rsidR="00E768F0" w:rsidRPr="00904340">
        <w:rPr>
          <w:sz w:val="22"/>
          <w:szCs w:val="22"/>
        </w:rPr>
        <w:t>proposed,</w:t>
      </w:r>
      <w:r w:rsidR="00050A0B" w:rsidRPr="00904340">
        <w:rPr>
          <w:sz w:val="22"/>
          <w:szCs w:val="22"/>
        </w:rPr>
        <w:t xml:space="preserve"> and the Borough has agreed</w:t>
      </w:r>
      <w:r w:rsidRPr="00904340">
        <w:rPr>
          <w:sz w:val="22"/>
          <w:szCs w:val="22"/>
        </w:rPr>
        <w:t xml:space="preserve"> to set aside three (3) residential units in the North Development for low-and moderate-income households to satisfy the required affordable housing obligation related to both the North Development and the South Development, which is considered one development for the purposes of satisfying said obligation; and</w:t>
      </w:r>
    </w:p>
    <w:p w14:paraId="1F6EA489" w14:textId="41511154" w:rsidR="00D911DD" w:rsidRPr="00904340" w:rsidRDefault="00D911DD" w:rsidP="003C79F0">
      <w:pPr>
        <w:autoSpaceDE w:val="0"/>
        <w:autoSpaceDN w:val="0"/>
        <w:adjustRightInd w:val="0"/>
        <w:jc w:val="both"/>
        <w:rPr>
          <w:sz w:val="22"/>
          <w:szCs w:val="22"/>
        </w:rPr>
      </w:pPr>
      <w:r w:rsidRPr="00904340">
        <w:rPr>
          <w:sz w:val="22"/>
          <w:szCs w:val="22"/>
        </w:rPr>
        <w:tab/>
      </w:r>
      <w:r w:rsidRPr="00904340">
        <w:rPr>
          <w:b/>
          <w:sz w:val="22"/>
          <w:szCs w:val="22"/>
        </w:rPr>
        <w:t>WHEREAS</w:t>
      </w:r>
      <w:r w:rsidRPr="00904340">
        <w:rPr>
          <w:sz w:val="22"/>
          <w:szCs w:val="22"/>
        </w:rPr>
        <w:t xml:space="preserve">, </w:t>
      </w:r>
      <w:r w:rsidR="00D91A40" w:rsidRPr="00904340">
        <w:rPr>
          <w:sz w:val="22"/>
          <w:szCs w:val="22"/>
        </w:rPr>
        <w:t xml:space="preserve">the </w:t>
      </w:r>
      <w:r w:rsidR="00C95F7A" w:rsidRPr="00904340">
        <w:rPr>
          <w:sz w:val="22"/>
          <w:szCs w:val="22"/>
        </w:rPr>
        <w:t>Borough</w:t>
      </w:r>
      <w:r w:rsidR="00E010E9" w:rsidRPr="00904340">
        <w:rPr>
          <w:sz w:val="22"/>
          <w:szCs w:val="22"/>
        </w:rPr>
        <w:t xml:space="preserve"> </w:t>
      </w:r>
      <w:r w:rsidR="00C95F7A" w:rsidRPr="00904340">
        <w:rPr>
          <w:sz w:val="22"/>
          <w:szCs w:val="22"/>
        </w:rPr>
        <w:t>and the Developer</w:t>
      </w:r>
      <w:r w:rsidR="00D91A40" w:rsidRPr="00904340">
        <w:rPr>
          <w:sz w:val="22"/>
          <w:szCs w:val="22"/>
        </w:rPr>
        <w:t xml:space="preserve"> </w:t>
      </w:r>
      <w:r w:rsidR="00050A0B" w:rsidRPr="00904340">
        <w:rPr>
          <w:sz w:val="22"/>
          <w:szCs w:val="22"/>
        </w:rPr>
        <w:t xml:space="preserve">wish to memorialize </w:t>
      </w:r>
      <w:r w:rsidR="00D91A40" w:rsidRPr="00904340">
        <w:rPr>
          <w:sz w:val="22"/>
          <w:szCs w:val="22"/>
        </w:rPr>
        <w:t xml:space="preserve">the terms of the </w:t>
      </w:r>
      <w:r w:rsidR="00634EDF" w:rsidRPr="00904340">
        <w:rPr>
          <w:sz w:val="22"/>
          <w:szCs w:val="22"/>
        </w:rPr>
        <w:t>S</w:t>
      </w:r>
      <w:r w:rsidR="00D91A40" w:rsidRPr="00904340">
        <w:rPr>
          <w:sz w:val="22"/>
          <w:szCs w:val="22"/>
        </w:rPr>
        <w:t xml:space="preserve">ettlement in </w:t>
      </w:r>
      <w:r w:rsidR="00844B87" w:rsidRPr="00904340">
        <w:rPr>
          <w:sz w:val="22"/>
          <w:szCs w:val="22"/>
        </w:rPr>
        <w:t>the</w:t>
      </w:r>
      <w:r w:rsidR="00BC64F7" w:rsidRPr="00904340">
        <w:rPr>
          <w:sz w:val="22"/>
          <w:szCs w:val="22"/>
        </w:rPr>
        <w:t xml:space="preserve"> proposed form of</w:t>
      </w:r>
      <w:r w:rsidR="00844B87" w:rsidRPr="00904340">
        <w:rPr>
          <w:sz w:val="22"/>
          <w:szCs w:val="22"/>
        </w:rPr>
        <w:t xml:space="preserve"> </w:t>
      </w:r>
      <w:r w:rsidR="00BE4817" w:rsidRPr="00904340">
        <w:rPr>
          <w:sz w:val="22"/>
          <w:szCs w:val="22"/>
        </w:rPr>
        <w:t>Affordable Housing Settlement</w:t>
      </w:r>
      <w:r w:rsidR="00844B87" w:rsidRPr="00904340">
        <w:rPr>
          <w:sz w:val="22"/>
          <w:szCs w:val="22"/>
        </w:rPr>
        <w:t xml:space="preserve"> Agreement </w:t>
      </w:r>
      <w:r w:rsidR="00611F0A" w:rsidRPr="00904340">
        <w:rPr>
          <w:sz w:val="22"/>
          <w:szCs w:val="22"/>
        </w:rPr>
        <w:t>attached hereto</w:t>
      </w:r>
      <w:r w:rsidR="00AE75FA" w:rsidRPr="00904340">
        <w:rPr>
          <w:sz w:val="22"/>
          <w:szCs w:val="22"/>
        </w:rPr>
        <w:t xml:space="preserve"> </w:t>
      </w:r>
      <w:r w:rsidR="00DA3038" w:rsidRPr="00904340">
        <w:rPr>
          <w:sz w:val="22"/>
          <w:szCs w:val="22"/>
        </w:rPr>
        <w:t>(the “Settlement Agreement”)</w:t>
      </w:r>
      <w:r w:rsidR="00844B87" w:rsidRPr="00904340">
        <w:rPr>
          <w:sz w:val="22"/>
          <w:szCs w:val="22"/>
        </w:rPr>
        <w:t>; and</w:t>
      </w:r>
    </w:p>
    <w:p w14:paraId="72AAD6E3" w14:textId="77777777" w:rsidR="007166BC" w:rsidRPr="00904340" w:rsidRDefault="007166BC" w:rsidP="003C79F0">
      <w:pPr>
        <w:autoSpaceDE w:val="0"/>
        <w:autoSpaceDN w:val="0"/>
        <w:adjustRightInd w:val="0"/>
        <w:jc w:val="both"/>
        <w:rPr>
          <w:sz w:val="22"/>
          <w:szCs w:val="22"/>
        </w:rPr>
      </w:pPr>
    </w:p>
    <w:p w14:paraId="0C600F40" w14:textId="0C5F4AAD" w:rsidR="00206035" w:rsidRPr="00904340" w:rsidRDefault="00206035" w:rsidP="00206035">
      <w:pPr>
        <w:autoSpaceDE w:val="0"/>
        <w:autoSpaceDN w:val="0"/>
        <w:adjustRightInd w:val="0"/>
        <w:jc w:val="center"/>
        <w:rPr>
          <w:b/>
          <w:sz w:val="22"/>
          <w:szCs w:val="22"/>
        </w:rPr>
      </w:pPr>
      <w:r w:rsidRPr="00904340">
        <w:rPr>
          <w:b/>
          <w:sz w:val="22"/>
          <w:szCs w:val="22"/>
        </w:rPr>
        <w:lastRenderedPageBreak/>
        <w:t>BOROUGH OF SEA GIRT</w:t>
      </w:r>
    </w:p>
    <w:p w14:paraId="5C35C9CA" w14:textId="77777777" w:rsidR="00206035" w:rsidRPr="00904340" w:rsidRDefault="00206035" w:rsidP="00206035">
      <w:pPr>
        <w:autoSpaceDE w:val="0"/>
        <w:autoSpaceDN w:val="0"/>
        <w:adjustRightInd w:val="0"/>
        <w:ind w:left="720" w:right="990"/>
        <w:jc w:val="center"/>
        <w:rPr>
          <w:b/>
          <w:bCs/>
          <w:sz w:val="22"/>
          <w:szCs w:val="22"/>
          <w:u w:val="single"/>
        </w:rPr>
      </w:pPr>
      <w:proofErr w:type="gramStart"/>
      <w:r w:rsidRPr="00904340">
        <w:rPr>
          <w:b/>
          <w:bCs/>
          <w:sz w:val="22"/>
          <w:szCs w:val="22"/>
          <w:u w:val="single"/>
        </w:rPr>
        <w:t>RESOLUTION NO.</w:t>
      </w:r>
      <w:proofErr w:type="gramEnd"/>
      <w:r w:rsidRPr="00904340">
        <w:rPr>
          <w:b/>
          <w:bCs/>
          <w:sz w:val="22"/>
          <w:szCs w:val="22"/>
          <w:u w:val="single"/>
        </w:rPr>
        <w:t xml:space="preserve"> _</w:t>
      </w:r>
      <w:r>
        <w:rPr>
          <w:b/>
          <w:bCs/>
          <w:sz w:val="22"/>
          <w:szCs w:val="22"/>
          <w:u w:val="single"/>
        </w:rPr>
        <w:t>212</w:t>
      </w:r>
      <w:r w:rsidRPr="00904340">
        <w:rPr>
          <w:b/>
          <w:bCs/>
          <w:sz w:val="22"/>
          <w:szCs w:val="22"/>
          <w:u w:val="single"/>
        </w:rPr>
        <w:t>--2020</w:t>
      </w:r>
    </w:p>
    <w:p w14:paraId="168B256C" w14:textId="77777777" w:rsidR="00206035" w:rsidRPr="00904340" w:rsidRDefault="00206035" w:rsidP="00206035">
      <w:pPr>
        <w:autoSpaceDE w:val="0"/>
        <w:autoSpaceDN w:val="0"/>
        <w:adjustRightInd w:val="0"/>
        <w:ind w:left="720" w:right="990"/>
        <w:jc w:val="center"/>
        <w:rPr>
          <w:bCs/>
          <w:sz w:val="22"/>
          <w:szCs w:val="22"/>
        </w:rPr>
      </w:pPr>
      <w:r w:rsidRPr="00904340">
        <w:rPr>
          <w:bCs/>
          <w:sz w:val="22"/>
          <w:szCs w:val="22"/>
        </w:rPr>
        <w:t>(</w:t>
      </w:r>
      <w:proofErr w:type="gramStart"/>
      <w:r w:rsidRPr="00904340">
        <w:rPr>
          <w:bCs/>
          <w:sz w:val="22"/>
          <w:szCs w:val="22"/>
        </w:rPr>
        <w:t>continued</w:t>
      </w:r>
      <w:proofErr w:type="gramEnd"/>
      <w:r w:rsidRPr="00904340">
        <w:rPr>
          <w:bCs/>
          <w:sz w:val="22"/>
          <w:szCs w:val="22"/>
        </w:rPr>
        <w:t>)</w:t>
      </w:r>
    </w:p>
    <w:p w14:paraId="73276E4F" w14:textId="77777777" w:rsidR="00206035" w:rsidRDefault="00206035" w:rsidP="00206035">
      <w:pPr>
        <w:autoSpaceDE w:val="0"/>
        <w:autoSpaceDN w:val="0"/>
        <w:adjustRightInd w:val="0"/>
        <w:jc w:val="both"/>
        <w:rPr>
          <w:sz w:val="22"/>
          <w:szCs w:val="22"/>
        </w:rPr>
      </w:pPr>
    </w:p>
    <w:p w14:paraId="62B5F68B" w14:textId="77777777" w:rsidR="00206035" w:rsidRDefault="00206035" w:rsidP="003C79F0">
      <w:pPr>
        <w:autoSpaceDE w:val="0"/>
        <w:autoSpaceDN w:val="0"/>
        <w:adjustRightInd w:val="0"/>
        <w:jc w:val="both"/>
        <w:rPr>
          <w:sz w:val="22"/>
          <w:szCs w:val="22"/>
        </w:rPr>
      </w:pPr>
    </w:p>
    <w:p w14:paraId="1F02A85F" w14:textId="79C0267B" w:rsidR="007166BC" w:rsidRPr="00904340" w:rsidRDefault="00206035" w:rsidP="003C79F0">
      <w:pPr>
        <w:autoSpaceDE w:val="0"/>
        <w:autoSpaceDN w:val="0"/>
        <w:adjustRightInd w:val="0"/>
        <w:jc w:val="both"/>
        <w:rPr>
          <w:sz w:val="22"/>
          <w:szCs w:val="22"/>
        </w:rPr>
      </w:pPr>
      <w:r>
        <w:rPr>
          <w:sz w:val="22"/>
          <w:szCs w:val="22"/>
        </w:rPr>
        <w:tab/>
      </w:r>
      <w:r w:rsidR="007166BC" w:rsidRPr="00904340">
        <w:rPr>
          <w:b/>
          <w:sz w:val="22"/>
          <w:szCs w:val="22"/>
        </w:rPr>
        <w:t>WHEREAS</w:t>
      </w:r>
      <w:r w:rsidR="007166BC" w:rsidRPr="00904340">
        <w:rPr>
          <w:sz w:val="22"/>
          <w:szCs w:val="22"/>
        </w:rPr>
        <w:t xml:space="preserve">, </w:t>
      </w:r>
      <w:r w:rsidR="00DA3038" w:rsidRPr="00904340">
        <w:rPr>
          <w:sz w:val="22"/>
          <w:szCs w:val="22"/>
        </w:rPr>
        <w:t xml:space="preserve">the </w:t>
      </w:r>
      <w:r w:rsidR="00DD1032" w:rsidRPr="00904340">
        <w:rPr>
          <w:sz w:val="22"/>
          <w:szCs w:val="22"/>
        </w:rPr>
        <w:t>Borough</w:t>
      </w:r>
      <w:r w:rsidR="00DA3038" w:rsidRPr="00904340">
        <w:rPr>
          <w:sz w:val="22"/>
          <w:szCs w:val="22"/>
        </w:rPr>
        <w:t xml:space="preserve"> Council believes it is in the best interest of the </w:t>
      </w:r>
      <w:r w:rsidR="0054190D" w:rsidRPr="00904340">
        <w:rPr>
          <w:sz w:val="22"/>
          <w:szCs w:val="22"/>
        </w:rPr>
        <w:t>Borough</w:t>
      </w:r>
      <w:r w:rsidR="00DA3038" w:rsidRPr="00904340">
        <w:rPr>
          <w:sz w:val="22"/>
          <w:szCs w:val="22"/>
        </w:rPr>
        <w:t xml:space="preserve"> to resolve the </w:t>
      </w:r>
      <w:r w:rsidR="0054190D" w:rsidRPr="00904340">
        <w:rPr>
          <w:sz w:val="22"/>
          <w:szCs w:val="22"/>
        </w:rPr>
        <w:t>Builder’s Remedy Action</w:t>
      </w:r>
      <w:r w:rsidR="00DA3038" w:rsidRPr="00904340">
        <w:rPr>
          <w:sz w:val="22"/>
          <w:szCs w:val="22"/>
        </w:rPr>
        <w:t xml:space="preserve"> as outlined in the Settlement Agreement</w:t>
      </w:r>
      <w:r w:rsidR="00050A0B" w:rsidRPr="00904340">
        <w:rPr>
          <w:sz w:val="22"/>
          <w:szCs w:val="22"/>
        </w:rPr>
        <w:t xml:space="preserve"> to address a portion of the Borough’s yet to be determined overall constitutional obligation to provide for its fair share of affordable housing</w:t>
      </w:r>
      <w:r w:rsidR="00EC7C65" w:rsidRPr="00904340">
        <w:rPr>
          <w:sz w:val="22"/>
          <w:szCs w:val="22"/>
        </w:rPr>
        <w:t xml:space="preserve">, and to avoid the </w:t>
      </w:r>
      <w:r w:rsidR="00E010E9" w:rsidRPr="00904340">
        <w:rPr>
          <w:sz w:val="22"/>
          <w:szCs w:val="22"/>
        </w:rPr>
        <w:t>cost and risk of further litigation.</w:t>
      </w:r>
    </w:p>
    <w:p w14:paraId="4401F930" w14:textId="77777777" w:rsidR="008F70EB" w:rsidRPr="00904340" w:rsidRDefault="008F70EB" w:rsidP="00634EDF">
      <w:pPr>
        <w:autoSpaceDE w:val="0"/>
        <w:autoSpaceDN w:val="0"/>
        <w:adjustRightInd w:val="0"/>
        <w:jc w:val="both"/>
        <w:rPr>
          <w:sz w:val="22"/>
          <w:szCs w:val="22"/>
        </w:rPr>
      </w:pPr>
    </w:p>
    <w:p w14:paraId="1AC17484" w14:textId="5BEEA46F" w:rsidR="00C329E3" w:rsidRPr="00904340" w:rsidRDefault="00F913E8" w:rsidP="00C329E3">
      <w:pPr>
        <w:autoSpaceDE w:val="0"/>
        <w:autoSpaceDN w:val="0"/>
        <w:adjustRightInd w:val="0"/>
        <w:jc w:val="both"/>
        <w:rPr>
          <w:sz w:val="22"/>
          <w:szCs w:val="22"/>
        </w:rPr>
      </w:pPr>
      <w:r w:rsidRPr="00904340">
        <w:rPr>
          <w:sz w:val="22"/>
          <w:szCs w:val="22"/>
        </w:rPr>
        <w:tab/>
      </w:r>
      <w:r w:rsidRPr="00904340">
        <w:rPr>
          <w:b/>
          <w:sz w:val="22"/>
          <w:szCs w:val="22"/>
        </w:rPr>
        <w:t>NOW, THEREFORE, IT IS HEREBY RESOLVED</w:t>
      </w:r>
      <w:r w:rsidRPr="00904340">
        <w:rPr>
          <w:sz w:val="22"/>
          <w:szCs w:val="22"/>
        </w:rPr>
        <w:t xml:space="preserve">, by the </w:t>
      </w:r>
      <w:r w:rsidR="00B4455E" w:rsidRPr="00904340">
        <w:rPr>
          <w:sz w:val="22"/>
          <w:szCs w:val="22"/>
        </w:rPr>
        <w:t>Borough</w:t>
      </w:r>
      <w:r w:rsidRPr="00904340">
        <w:rPr>
          <w:sz w:val="22"/>
          <w:szCs w:val="22"/>
        </w:rPr>
        <w:t xml:space="preserve"> Council of the </w:t>
      </w:r>
      <w:r w:rsidR="00F17AC8" w:rsidRPr="00904340">
        <w:rPr>
          <w:sz w:val="22"/>
          <w:szCs w:val="22"/>
        </w:rPr>
        <w:t>Borough</w:t>
      </w:r>
      <w:r w:rsidRPr="00904340">
        <w:rPr>
          <w:sz w:val="22"/>
          <w:szCs w:val="22"/>
        </w:rPr>
        <w:t xml:space="preserve"> of </w:t>
      </w:r>
      <w:r w:rsidR="00F17AC8" w:rsidRPr="00904340">
        <w:rPr>
          <w:sz w:val="22"/>
          <w:szCs w:val="22"/>
        </w:rPr>
        <w:t>Sea Girt</w:t>
      </w:r>
      <w:r w:rsidRPr="00904340">
        <w:rPr>
          <w:sz w:val="22"/>
          <w:szCs w:val="22"/>
        </w:rPr>
        <w:t xml:space="preserve">, in the County of </w:t>
      </w:r>
      <w:r w:rsidR="00F17AC8" w:rsidRPr="00904340">
        <w:rPr>
          <w:sz w:val="22"/>
          <w:szCs w:val="22"/>
        </w:rPr>
        <w:t>Monmouth</w:t>
      </w:r>
      <w:r w:rsidRPr="00904340">
        <w:rPr>
          <w:sz w:val="22"/>
          <w:szCs w:val="22"/>
        </w:rPr>
        <w:t xml:space="preserve"> and State of New Jersey</w:t>
      </w:r>
      <w:r w:rsidR="00590BD7" w:rsidRPr="00904340">
        <w:rPr>
          <w:sz w:val="22"/>
          <w:szCs w:val="22"/>
        </w:rPr>
        <w:t>,</w:t>
      </w:r>
      <w:r w:rsidRPr="00904340">
        <w:rPr>
          <w:sz w:val="22"/>
          <w:szCs w:val="22"/>
        </w:rPr>
        <w:t xml:space="preserve"> </w:t>
      </w:r>
      <w:r w:rsidR="00634EDF" w:rsidRPr="00904340">
        <w:rPr>
          <w:sz w:val="22"/>
          <w:szCs w:val="22"/>
        </w:rPr>
        <w:t xml:space="preserve">that it hereby approves the Settlement of the </w:t>
      </w:r>
      <w:r w:rsidR="00596824" w:rsidRPr="00904340">
        <w:rPr>
          <w:sz w:val="22"/>
          <w:szCs w:val="22"/>
        </w:rPr>
        <w:t>Builder’s Remedy</w:t>
      </w:r>
      <w:r w:rsidR="00634EDF" w:rsidRPr="00904340">
        <w:rPr>
          <w:sz w:val="22"/>
          <w:szCs w:val="22"/>
        </w:rPr>
        <w:t xml:space="preserve"> Action and hereby authorizes the Mayor to execute the Settlement Agreement in</w:t>
      </w:r>
      <w:r w:rsidR="00611F0A" w:rsidRPr="00904340">
        <w:rPr>
          <w:sz w:val="22"/>
          <w:szCs w:val="22"/>
        </w:rPr>
        <w:t xml:space="preserve"> a</w:t>
      </w:r>
      <w:r w:rsidR="00634EDF" w:rsidRPr="00904340">
        <w:rPr>
          <w:sz w:val="22"/>
          <w:szCs w:val="22"/>
        </w:rPr>
        <w:t xml:space="preserve"> form </w:t>
      </w:r>
      <w:r w:rsidR="00611F0A" w:rsidRPr="00904340">
        <w:rPr>
          <w:sz w:val="22"/>
          <w:szCs w:val="22"/>
        </w:rPr>
        <w:t>substantially similar to the form attached hereto</w:t>
      </w:r>
      <w:r w:rsidR="00634EDF" w:rsidRPr="00904340">
        <w:rPr>
          <w:sz w:val="22"/>
          <w:szCs w:val="22"/>
        </w:rPr>
        <w:t>, and to execute any other settlement documents necessary to effectuate the Settlement.</w:t>
      </w:r>
    </w:p>
    <w:p w14:paraId="0A9FA9C6" w14:textId="77777777" w:rsidR="00C329E3" w:rsidRPr="00904340" w:rsidRDefault="00C329E3" w:rsidP="00C329E3">
      <w:pPr>
        <w:autoSpaceDE w:val="0"/>
        <w:autoSpaceDN w:val="0"/>
        <w:adjustRightInd w:val="0"/>
        <w:jc w:val="both"/>
        <w:rPr>
          <w:sz w:val="22"/>
          <w:szCs w:val="22"/>
        </w:rPr>
      </w:pPr>
    </w:p>
    <w:p w14:paraId="2A40BECA" w14:textId="77777777" w:rsidR="00C329E3" w:rsidRPr="00904340" w:rsidRDefault="00C329E3" w:rsidP="00C329E3">
      <w:pPr>
        <w:autoSpaceDE w:val="0"/>
        <w:autoSpaceDN w:val="0"/>
        <w:adjustRightInd w:val="0"/>
        <w:jc w:val="both"/>
        <w:rPr>
          <w:sz w:val="22"/>
          <w:szCs w:val="22"/>
        </w:rPr>
      </w:pPr>
      <w:r w:rsidRPr="00904340">
        <w:rPr>
          <w:sz w:val="22"/>
          <w:szCs w:val="22"/>
        </w:rPr>
        <w:tab/>
      </w:r>
      <w:r w:rsidRPr="00904340">
        <w:rPr>
          <w:b/>
          <w:sz w:val="22"/>
          <w:szCs w:val="22"/>
        </w:rPr>
        <w:t>BE IT FURTHER RESOLVED</w:t>
      </w:r>
      <w:r w:rsidRPr="00904340">
        <w:rPr>
          <w:sz w:val="22"/>
          <w:szCs w:val="22"/>
        </w:rPr>
        <w:t xml:space="preserve"> that a certified copy of this Resolution shall be provided to each of the following:</w:t>
      </w:r>
    </w:p>
    <w:p w14:paraId="10E40528" w14:textId="77777777" w:rsidR="00C329E3" w:rsidRPr="00904340" w:rsidRDefault="00C329E3" w:rsidP="00C329E3">
      <w:pPr>
        <w:autoSpaceDE w:val="0"/>
        <w:autoSpaceDN w:val="0"/>
        <w:adjustRightInd w:val="0"/>
        <w:jc w:val="both"/>
        <w:rPr>
          <w:sz w:val="22"/>
          <w:szCs w:val="22"/>
        </w:rPr>
      </w:pPr>
    </w:p>
    <w:p w14:paraId="0D3ED26D" w14:textId="50D74F6B" w:rsidR="00904FDE" w:rsidRPr="00904340" w:rsidRDefault="00050A0B" w:rsidP="00861E76">
      <w:pPr>
        <w:numPr>
          <w:ilvl w:val="0"/>
          <w:numId w:val="5"/>
        </w:numPr>
        <w:autoSpaceDE w:val="0"/>
        <w:autoSpaceDN w:val="0"/>
        <w:adjustRightInd w:val="0"/>
        <w:ind w:left="2160" w:hanging="720"/>
        <w:jc w:val="both"/>
        <w:rPr>
          <w:sz w:val="22"/>
          <w:szCs w:val="22"/>
        </w:rPr>
      </w:pPr>
      <w:r w:rsidRPr="00904340">
        <w:rPr>
          <w:sz w:val="22"/>
          <w:szCs w:val="22"/>
        </w:rPr>
        <w:t>Andrew Bayer, Esq.</w:t>
      </w:r>
      <w:r w:rsidR="00E768F0" w:rsidRPr="00904340">
        <w:rPr>
          <w:sz w:val="22"/>
          <w:szCs w:val="22"/>
        </w:rPr>
        <w:t xml:space="preserve"> Special Counsel</w:t>
      </w:r>
    </w:p>
    <w:p w14:paraId="3E1B66EE" w14:textId="6E132FDC" w:rsidR="00D45DDA" w:rsidRPr="00904340" w:rsidRDefault="00050A0B" w:rsidP="00861E76">
      <w:pPr>
        <w:numPr>
          <w:ilvl w:val="0"/>
          <w:numId w:val="5"/>
        </w:numPr>
        <w:autoSpaceDE w:val="0"/>
        <w:autoSpaceDN w:val="0"/>
        <w:adjustRightInd w:val="0"/>
        <w:ind w:left="2160" w:hanging="720"/>
        <w:jc w:val="both"/>
        <w:rPr>
          <w:sz w:val="22"/>
          <w:szCs w:val="22"/>
        </w:rPr>
      </w:pPr>
      <w:r w:rsidRPr="00904340">
        <w:rPr>
          <w:sz w:val="22"/>
          <w:szCs w:val="22"/>
        </w:rPr>
        <w:t xml:space="preserve">Craig P. </w:t>
      </w:r>
      <w:proofErr w:type="spellStart"/>
      <w:r w:rsidRPr="00904340">
        <w:rPr>
          <w:sz w:val="22"/>
          <w:szCs w:val="22"/>
        </w:rPr>
        <w:t>Gianetti</w:t>
      </w:r>
      <w:proofErr w:type="spellEnd"/>
      <w:r w:rsidRPr="00904340">
        <w:rPr>
          <w:sz w:val="22"/>
          <w:szCs w:val="22"/>
        </w:rPr>
        <w:t>, Esq</w:t>
      </w:r>
      <w:r w:rsidR="00E768F0" w:rsidRPr="00904340">
        <w:rPr>
          <w:sz w:val="22"/>
          <w:szCs w:val="22"/>
        </w:rPr>
        <w:t>.</w:t>
      </w:r>
      <w:r w:rsidRPr="00904340">
        <w:rPr>
          <w:sz w:val="22"/>
          <w:szCs w:val="22"/>
        </w:rPr>
        <w:t xml:space="preserve">  </w:t>
      </w:r>
    </w:p>
    <w:p w14:paraId="19B50E8A" w14:textId="77777777" w:rsidR="00904340" w:rsidRPr="00904340" w:rsidRDefault="00904340" w:rsidP="00904340">
      <w:pPr>
        <w:autoSpaceDE w:val="0"/>
        <w:autoSpaceDN w:val="0"/>
        <w:adjustRightInd w:val="0"/>
        <w:ind w:left="720" w:right="990"/>
        <w:jc w:val="center"/>
        <w:rPr>
          <w:b/>
          <w:bCs/>
          <w:sz w:val="22"/>
          <w:szCs w:val="22"/>
        </w:rPr>
      </w:pPr>
    </w:p>
    <w:p w14:paraId="667BB2AE" w14:textId="77777777" w:rsidR="00904340" w:rsidRDefault="00904340" w:rsidP="00EF37A3">
      <w:pPr>
        <w:autoSpaceDE w:val="0"/>
        <w:autoSpaceDN w:val="0"/>
        <w:adjustRightInd w:val="0"/>
        <w:jc w:val="both"/>
      </w:pPr>
    </w:p>
    <w:p w14:paraId="3282B2A0" w14:textId="1D474643" w:rsidR="00904340" w:rsidRDefault="00904340" w:rsidP="00EF37A3">
      <w:pPr>
        <w:autoSpaceDE w:val="0"/>
        <w:autoSpaceDN w:val="0"/>
        <w:adjustRightInd w:val="0"/>
        <w:jc w:val="both"/>
      </w:pPr>
      <w:r>
        <w:t>Recorded Vote:</w:t>
      </w:r>
      <w:r w:rsidRPr="00904340">
        <w:rPr>
          <w:b/>
        </w:rPr>
        <w:t xml:space="preserve"> </w:t>
      </w:r>
      <w:r>
        <w:rPr>
          <w:b/>
        </w:rPr>
        <w:t>SEA GIRT BOROUGH</w:t>
      </w:r>
      <w:r w:rsidRPr="000B1329">
        <w:rPr>
          <w:b/>
        </w:rPr>
        <w:t xml:space="preserve"> COUNCIL</w:t>
      </w:r>
    </w:p>
    <w:p w14:paraId="0D10E962" w14:textId="41C9C7EB" w:rsidR="00904340" w:rsidRPr="00A7454C" w:rsidRDefault="00904340" w:rsidP="00904340">
      <w:pPr>
        <w:ind w:lef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904340" w:rsidRPr="00A7454C" w14:paraId="3218F052" w14:textId="77777777" w:rsidTr="000578E2">
        <w:trPr>
          <w:jc w:val="center"/>
        </w:trPr>
        <w:tc>
          <w:tcPr>
            <w:tcW w:w="2430" w:type="dxa"/>
          </w:tcPr>
          <w:p w14:paraId="5CD61AA8" w14:textId="77777777" w:rsidR="00904340" w:rsidRPr="00A7454C" w:rsidRDefault="00904340" w:rsidP="000578E2">
            <w:pPr>
              <w:jc w:val="center"/>
              <w:rPr>
                <w:rFonts w:ascii="Calibri" w:hAnsi="Calibri"/>
                <w:sz w:val="20"/>
                <w:szCs w:val="20"/>
              </w:rPr>
            </w:pPr>
          </w:p>
        </w:tc>
        <w:tc>
          <w:tcPr>
            <w:tcW w:w="720" w:type="dxa"/>
          </w:tcPr>
          <w:p w14:paraId="1CC998DE" w14:textId="77777777" w:rsidR="00904340" w:rsidRPr="00A7454C" w:rsidRDefault="00904340" w:rsidP="000578E2">
            <w:pPr>
              <w:jc w:val="center"/>
              <w:rPr>
                <w:rFonts w:ascii="Calibri" w:hAnsi="Calibri"/>
                <w:sz w:val="20"/>
                <w:szCs w:val="20"/>
              </w:rPr>
            </w:pPr>
            <w:r w:rsidRPr="00A7454C">
              <w:rPr>
                <w:rFonts w:ascii="Calibri" w:hAnsi="Calibri"/>
                <w:sz w:val="20"/>
                <w:szCs w:val="20"/>
              </w:rPr>
              <w:t>AYES</w:t>
            </w:r>
          </w:p>
        </w:tc>
        <w:tc>
          <w:tcPr>
            <w:tcW w:w="900" w:type="dxa"/>
          </w:tcPr>
          <w:p w14:paraId="7CFA3D75" w14:textId="77777777" w:rsidR="00904340" w:rsidRPr="00A7454C" w:rsidRDefault="00904340" w:rsidP="000578E2">
            <w:pPr>
              <w:jc w:val="center"/>
              <w:rPr>
                <w:rFonts w:ascii="Calibri" w:hAnsi="Calibri"/>
                <w:sz w:val="20"/>
                <w:szCs w:val="20"/>
              </w:rPr>
            </w:pPr>
            <w:r w:rsidRPr="00A7454C">
              <w:rPr>
                <w:rFonts w:ascii="Calibri" w:hAnsi="Calibri"/>
                <w:sz w:val="20"/>
                <w:szCs w:val="20"/>
              </w:rPr>
              <w:t>NAYS</w:t>
            </w:r>
          </w:p>
        </w:tc>
        <w:tc>
          <w:tcPr>
            <w:tcW w:w="1080" w:type="dxa"/>
          </w:tcPr>
          <w:p w14:paraId="2714B647" w14:textId="77777777" w:rsidR="00904340" w:rsidRPr="00A7454C" w:rsidRDefault="00904340" w:rsidP="000578E2">
            <w:pPr>
              <w:jc w:val="center"/>
              <w:rPr>
                <w:rFonts w:ascii="Calibri" w:hAnsi="Calibri"/>
                <w:sz w:val="20"/>
                <w:szCs w:val="20"/>
              </w:rPr>
            </w:pPr>
            <w:r w:rsidRPr="00A7454C">
              <w:rPr>
                <w:rFonts w:ascii="Calibri" w:hAnsi="Calibri"/>
                <w:sz w:val="20"/>
                <w:szCs w:val="20"/>
              </w:rPr>
              <w:t>ABSENT</w:t>
            </w:r>
          </w:p>
        </w:tc>
        <w:tc>
          <w:tcPr>
            <w:tcW w:w="990" w:type="dxa"/>
          </w:tcPr>
          <w:p w14:paraId="60A19689" w14:textId="77777777" w:rsidR="00904340" w:rsidRPr="00A7454C" w:rsidRDefault="00904340" w:rsidP="000578E2">
            <w:pPr>
              <w:jc w:val="center"/>
              <w:rPr>
                <w:rFonts w:ascii="Calibri" w:hAnsi="Calibri"/>
                <w:sz w:val="20"/>
                <w:szCs w:val="20"/>
              </w:rPr>
            </w:pPr>
            <w:r w:rsidRPr="00A7454C">
              <w:rPr>
                <w:rFonts w:ascii="Calibri" w:hAnsi="Calibri"/>
                <w:sz w:val="20"/>
                <w:szCs w:val="20"/>
              </w:rPr>
              <w:t>ABSTAIN</w:t>
            </w:r>
          </w:p>
        </w:tc>
      </w:tr>
      <w:tr w:rsidR="00904340" w:rsidRPr="00A7454C" w14:paraId="377FFD5C" w14:textId="77777777" w:rsidTr="000578E2">
        <w:trPr>
          <w:jc w:val="center"/>
        </w:trPr>
        <w:tc>
          <w:tcPr>
            <w:tcW w:w="2430" w:type="dxa"/>
          </w:tcPr>
          <w:p w14:paraId="01C83882" w14:textId="77777777" w:rsidR="00904340" w:rsidRPr="00A7454C" w:rsidRDefault="00904340" w:rsidP="000578E2">
            <w:pPr>
              <w:jc w:val="both"/>
              <w:rPr>
                <w:rFonts w:ascii="Calibri" w:hAnsi="Calibri"/>
                <w:sz w:val="20"/>
                <w:szCs w:val="20"/>
              </w:rPr>
            </w:pPr>
            <w:r w:rsidRPr="00A7454C">
              <w:rPr>
                <w:rFonts w:ascii="Calibri" w:hAnsi="Calibri"/>
                <w:sz w:val="20"/>
                <w:szCs w:val="20"/>
              </w:rPr>
              <w:t>Councilman</w:t>
            </w:r>
            <w:r>
              <w:rPr>
                <w:rFonts w:ascii="Calibri" w:hAnsi="Calibri"/>
                <w:sz w:val="20"/>
                <w:szCs w:val="20"/>
              </w:rPr>
              <w:t xml:space="preserve"> Clemmensen</w:t>
            </w:r>
          </w:p>
        </w:tc>
        <w:tc>
          <w:tcPr>
            <w:tcW w:w="720" w:type="dxa"/>
          </w:tcPr>
          <w:p w14:paraId="792C87F9" w14:textId="6ACA5FD6"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3C6956DE" w14:textId="77777777" w:rsidR="00904340" w:rsidRPr="00A7454C" w:rsidRDefault="00904340" w:rsidP="000578E2">
            <w:pPr>
              <w:jc w:val="center"/>
              <w:rPr>
                <w:rFonts w:ascii="Calibri" w:hAnsi="Calibri"/>
                <w:sz w:val="20"/>
                <w:szCs w:val="20"/>
              </w:rPr>
            </w:pPr>
          </w:p>
        </w:tc>
        <w:tc>
          <w:tcPr>
            <w:tcW w:w="1080" w:type="dxa"/>
          </w:tcPr>
          <w:p w14:paraId="30365359" w14:textId="77777777" w:rsidR="00904340" w:rsidRPr="00A7454C" w:rsidRDefault="00904340" w:rsidP="000578E2">
            <w:pPr>
              <w:jc w:val="center"/>
              <w:rPr>
                <w:rFonts w:ascii="Calibri" w:hAnsi="Calibri"/>
                <w:sz w:val="20"/>
                <w:szCs w:val="20"/>
              </w:rPr>
            </w:pPr>
          </w:p>
        </w:tc>
        <w:tc>
          <w:tcPr>
            <w:tcW w:w="990" w:type="dxa"/>
          </w:tcPr>
          <w:p w14:paraId="2F2848DC" w14:textId="77777777" w:rsidR="00904340" w:rsidRPr="00A7454C" w:rsidRDefault="00904340" w:rsidP="000578E2">
            <w:pPr>
              <w:jc w:val="both"/>
              <w:rPr>
                <w:rFonts w:ascii="Calibri" w:hAnsi="Calibri"/>
                <w:sz w:val="20"/>
                <w:szCs w:val="20"/>
              </w:rPr>
            </w:pPr>
          </w:p>
        </w:tc>
      </w:tr>
      <w:tr w:rsidR="00904340" w:rsidRPr="00A7454C" w14:paraId="4C73E3B4" w14:textId="77777777" w:rsidTr="000578E2">
        <w:trPr>
          <w:jc w:val="center"/>
        </w:trPr>
        <w:tc>
          <w:tcPr>
            <w:tcW w:w="2430" w:type="dxa"/>
          </w:tcPr>
          <w:p w14:paraId="4427794E" w14:textId="77777777" w:rsidR="00904340" w:rsidRPr="00A7454C" w:rsidRDefault="00904340" w:rsidP="000578E2">
            <w:pPr>
              <w:jc w:val="both"/>
              <w:rPr>
                <w:rFonts w:ascii="Calibri" w:hAnsi="Calibri"/>
                <w:sz w:val="20"/>
                <w:szCs w:val="20"/>
              </w:rPr>
            </w:pPr>
            <w:r w:rsidRPr="00A7454C">
              <w:rPr>
                <w:rFonts w:ascii="Calibri" w:hAnsi="Calibri"/>
                <w:sz w:val="20"/>
                <w:szCs w:val="20"/>
              </w:rPr>
              <w:t xml:space="preserve">Councilman </w:t>
            </w:r>
            <w:proofErr w:type="spellStart"/>
            <w:r>
              <w:rPr>
                <w:rFonts w:ascii="Calibri" w:hAnsi="Calibri"/>
                <w:sz w:val="20"/>
                <w:szCs w:val="20"/>
              </w:rPr>
              <w:t>Mastrorilli</w:t>
            </w:r>
            <w:proofErr w:type="spellEnd"/>
          </w:p>
        </w:tc>
        <w:tc>
          <w:tcPr>
            <w:tcW w:w="720" w:type="dxa"/>
          </w:tcPr>
          <w:p w14:paraId="396578BB" w14:textId="664D8BEE"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04D57E25" w14:textId="77777777" w:rsidR="00904340" w:rsidRPr="00A7454C" w:rsidRDefault="00904340" w:rsidP="000578E2">
            <w:pPr>
              <w:jc w:val="center"/>
              <w:rPr>
                <w:rFonts w:ascii="Calibri" w:hAnsi="Calibri"/>
                <w:sz w:val="20"/>
                <w:szCs w:val="20"/>
              </w:rPr>
            </w:pPr>
          </w:p>
        </w:tc>
        <w:tc>
          <w:tcPr>
            <w:tcW w:w="1080" w:type="dxa"/>
          </w:tcPr>
          <w:p w14:paraId="0D550D9D" w14:textId="77777777" w:rsidR="00904340" w:rsidRPr="00A7454C" w:rsidRDefault="00904340" w:rsidP="000578E2">
            <w:pPr>
              <w:jc w:val="center"/>
              <w:rPr>
                <w:rFonts w:ascii="Calibri" w:hAnsi="Calibri"/>
                <w:sz w:val="20"/>
                <w:szCs w:val="20"/>
              </w:rPr>
            </w:pPr>
          </w:p>
        </w:tc>
        <w:tc>
          <w:tcPr>
            <w:tcW w:w="990" w:type="dxa"/>
          </w:tcPr>
          <w:p w14:paraId="12F7EE0B" w14:textId="77777777" w:rsidR="00904340" w:rsidRPr="00A7454C" w:rsidRDefault="00904340" w:rsidP="000578E2">
            <w:pPr>
              <w:jc w:val="both"/>
              <w:rPr>
                <w:rFonts w:ascii="Calibri" w:hAnsi="Calibri"/>
                <w:sz w:val="20"/>
                <w:szCs w:val="20"/>
              </w:rPr>
            </w:pPr>
          </w:p>
        </w:tc>
      </w:tr>
      <w:tr w:rsidR="00904340" w:rsidRPr="00A7454C" w14:paraId="417724A3" w14:textId="77777777" w:rsidTr="000578E2">
        <w:trPr>
          <w:jc w:val="center"/>
        </w:trPr>
        <w:tc>
          <w:tcPr>
            <w:tcW w:w="2430" w:type="dxa"/>
          </w:tcPr>
          <w:p w14:paraId="14F343B7" w14:textId="77777777" w:rsidR="00904340" w:rsidRPr="00A7454C" w:rsidRDefault="00904340" w:rsidP="000578E2">
            <w:pPr>
              <w:jc w:val="both"/>
              <w:rPr>
                <w:rFonts w:ascii="Calibri" w:hAnsi="Calibri"/>
                <w:sz w:val="20"/>
                <w:szCs w:val="20"/>
              </w:rPr>
            </w:pPr>
            <w:r>
              <w:rPr>
                <w:rFonts w:ascii="Calibri" w:hAnsi="Calibri"/>
                <w:sz w:val="20"/>
                <w:szCs w:val="20"/>
              </w:rPr>
              <w:t>Councilman Begley</w:t>
            </w:r>
          </w:p>
        </w:tc>
        <w:tc>
          <w:tcPr>
            <w:tcW w:w="720" w:type="dxa"/>
          </w:tcPr>
          <w:p w14:paraId="5379765B" w14:textId="0B239F0B"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75BE67B5" w14:textId="77777777" w:rsidR="00904340" w:rsidRPr="00A7454C" w:rsidRDefault="00904340" w:rsidP="000578E2">
            <w:pPr>
              <w:jc w:val="center"/>
              <w:rPr>
                <w:rFonts w:ascii="Calibri" w:hAnsi="Calibri"/>
                <w:sz w:val="20"/>
                <w:szCs w:val="20"/>
              </w:rPr>
            </w:pPr>
          </w:p>
        </w:tc>
        <w:tc>
          <w:tcPr>
            <w:tcW w:w="1080" w:type="dxa"/>
          </w:tcPr>
          <w:p w14:paraId="249D851D" w14:textId="77777777" w:rsidR="00904340" w:rsidRPr="00A7454C" w:rsidRDefault="00904340" w:rsidP="000578E2">
            <w:pPr>
              <w:jc w:val="center"/>
              <w:rPr>
                <w:rFonts w:ascii="Calibri" w:hAnsi="Calibri"/>
                <w:sz w:val="20"/>
                <w:szCs w:val="20"/>
              </w:rPr>
            </w:pPr>
          </w:p>
        </w:tc>
        <w:tc>
          <w:tcPr>
            <w:tcW w:w="990" w:type="dxa"/>
          </w:tcPr>
          <w:p w14:paraId="4A0874D6" w14:textId="77777777" w:rsidR="00904340" w:rsidRPr="00A7454C" w:rsidRDefault="00904340" w:rsidP="000578E2">
            <w:pPr>
              <w:jc w:val="both"/>
              <w:rPr>
                <w:rFonts w:ascii="Calibri" w:hAnsi="Calibri"/>
                <w:sz w:val="20"/>
                <w:szCs w:val="20"/>
              </w:rPr>
            </w:pPr>
          </w:p>
        </w:tc>
      </w:tr>
      <w:tr w:rsidR="00904340" w:rsidRPr="00A7454C" w14:paraId="3B4C8946" w14:textId="77777777" w:rsidTr="000578E2">
        <w:trPr>
          <w:jc w:val="center"/>
        </w:trPr>
        <w:tc>
          <w:tcPr>
            <w:tcW w:w="2430" w:type="dxa"/>
          </w:tcPr>
          <w:p w14:paraId="12C55477" w14:textId="77777777" w:rsidR="00904340" w:rsidRPr="00A7454C" w:rsidRDefault="00904340" w:rsidP="000578E2">
            <w:pPr>
              <w:jc w:val="both"/>
              <w:rPr>
                <w:rFonts w:ascii="Calibri" w:hAnsi="Calibri"/>
                <w:sz w:val="20"/>
                <w:szCs w:val="20"/>
              </w:rPr>
            </w:pPr>
            <w:r w:rsidRPr="00A7454C">
              <w:rPr>
                <w:rFonts w:ascii="Calibri" w:hAnsi="Calibri"/>
                <w:sz w:val="20"/>
                <w:szCs w:val="20"/>
              </w:rPr>
              <w:t>Council President Fetzer</w:t>
            </w:r>
          </w:p>
        </w:tc>
        <w:tc>
          <w:tcPr>
            <w:tcW w:w="720" w:type="dxa"/>
          </w:tcPr>
          <w:p w14:paraId="37460524" w14:textId="7CCC8059"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143FFA7E" w14:textId="77777777" w:rsidR="00904340" w:rsidRPr="00A7454C" w:rsidRDefault="00904340" w:rsidP="000578E2">
            <w:pPr>
              <w:jc w:val="center"/>
              <w:rPr>
                <w:rFonts w:ascii="Calibri" w:hAnsi="Calibri"/>
                <w:sz w:val="20"/>
                <w:szCs w:val="20"/>
              </w:rPr>
            </w:pPr>
          </w:p>
        </w:tc>
        <w:tc>
          <w:tcPr>
            <w:tcW w:w="1080" w:type="dxa"/>
          </w:tcPr>
          <w:p w14:paraId="75796107" w14:textId="77777777" w:rsidR="00904340" w:rsidRPr="00A7454C" w:rsidRDefault="00904340" w:rsidP="000578E2">
            <w:pPr>
              <w:jc w:val="center"/>
              <w:rPr>
                <w:rFonts w:ascii="Calibri" w:hAnsi="Calibri"/>
                <w:sz w:val="20"/>
                <w:szCs w:val="20"/>
              </w:rPr>
            </w:pPr>
          </w:p>
        </w:tc>
        <w:tc>
          <w:tcPr>
            <w:tcW w:w="990" w:type="dxa"/>
          </w:tcPr>
          <w:p w14:paraId="4C8C3EA8" w14:textId="77777777" w:rsidR="00904340" w:rsidRPr="00A7454C" w:rsidRDefault="00904340" w:rsidP="000578E2">
            <w:pPr>
              <w:jc w:val="both"/>
              <w:rPr>
                <w:rFonts w:ascii="Calibri" w:hAnsi="Calibri"/>
                <w:sz w:val="20"/>
                <w:szCs w:val="20"/>
              </w:rPr>
            </w:pPr>
          </w:p>
        </w:tc>
      </w:tr>
      <w:tr w:rsidR="00904340" w:rsidRPr="00A7454C" w14:paraId="3729EF0B" w14:textId="77777777" w:rsidTr="000578E2">
        <w:trPr>
          <w:jc w:val="center"/>
        </w:trPr>
        <w:tc>
          <w:tcPr>
            <w:tcW w:w="2430" w:type="dxa"/>
          </w:tcPr>
          <w:p w14:paraId="023B1EE5" w14:textId="77777777" w:rsidR="00904340" w:rsidRPr="00A7454C" w:rsidRDefault="00904340" w:rsidP="000578E2">
            <w:pPr>
              <w:jc w:val="both"/>
              <w:rPr>
                <w:rFonts w:ascii="Calibri" w:hAnsi="Calibri"/>
                <w:sz w:val="20"/>
                <w:szCs w:val="20"/>
              </w:rPr>
            </w:pPr>
            <w:r w:rsidRPr="00A7454C">
              <w:rPr>
                <w:rFonts w:ascii="Calibri" w:hAnsi="Calibri"/>
                <w:sz w:val="20"/>
                <w:szCs w:val="20"/>
              </w:rPr>
              <w:t>Council</w:t>
            </w:r>
            <w:r>
              <w:rPr>
                <w:rFonts w:ascii="Calibri" w:hAnsi="Calibri"/>
                <w:sz w:val="20"/>
                <w:szCs w:val="20"/>
              </w:rPr>
              <w:t>wo</w:t>
            </w:r>
            <w:r w:rsidRPr="00A7454C">
              <w:rPr>
                <w:rFonts w:ascii="Calibri" w:hAnsi="Calibri"/>
                <w:sz w:val="20"/>
                <w:szCs w:val="20"/>
              </w:rPr>
              <w:t>man</w:t>
            </w:r>
            <w:r>
              <w:rPr>
                <w:rFonts w:ascii="Calibri" w:hAnsi="Calibri"/>
                <w:sz w:val="20"/>
                <w:szCs w:val="20"/>
              </w:rPr>
              <w:t xml:space="preserve"> </w:t>
            </w:r>
            <w:proofErr w:type="spellStart"/>
            <w:r>
              <w:rPr>
                <w:rFonts w:ascii="Calibri" w:hAnsi="Calibri"/>
                <w:sz w:val="20"/>
                <w:szCs w:val="20"/>
              </w:rPr>
              <w:t>Giegerich</w:t>
            </w:r>
            <w:proofErr w:type="spellEnd"/>
          </w:p>
        </w:tc>
        <w:tc>
          <w:tcPr>
            <w:tcW w:w="720" w:type="dxa"/>
          </w:tcPr>
          <w:p w14:paraId="311CF037" w14:textId="2E6A8FBA"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3E382A3A" w14:textId="77777777" w:rsidR="00904340" w:rsidRPr="00A7454C" w:rsidRDefault="00904340" w:rsidP="000578E2">
            <w:pPr>
              <w:jc w:val="center"/>
              <w:rPr>
                <w:rFonts w:ascii="Calibri" w:hAnsi="Calibri"/>
                <w:sz w:val="20"/>
                <w:szCs w:val="20"/>
              </w:rPr>
            </w:pPr>
          </w:p>
        </w:tc>
        <w:tc>
          <w:tcPr>
            <w:tcW w:w="1080" w:type="dxa"/>
          </w:tcPr>
          <w:p w14:paraId="0BB8BF0D" w14:textId="77777777" w:rsidR="00904340" w:rsidRPr="00A7454C" w:rsidRDefault="00904340" w:rsidP="000578E2">
            <w:pPr>
              <w:jc w:val="center"/>
              <w:rPr>
                <w:rFonts w:ascii="Calibri" w:hAnsi="Calibri"/>
                <w:sz w:val="20"/>
                <w:szCs w:val="20"/>
              </w:rPr>
            </w:pPr>
          </w:p>
        </w:tc>
        <w:tc>
          <w:tcPr>
            <w:tcW w:w="990" w:type="dxa"/>
          </w:tcPr>
          <w:p w14:paraId="4986103E" w14:textId="77777777" w:rsidR="00904340" w:rsidRPr="00A7454C" w:rsidRDefault="00904340" w:rsidP="000578E2">
            <w:pPr>
              <w:jc w:val="both"/>
              <w:rPr>
                <w:rFonts w:ascii="Calibri" w:hAnsi="Calibri"/>
                <w:sz w:val="20"/>
                <w:szCs w:val="20"/>
              </w:rPr>
            </w:pPr>
          </w:p>
        </w:tc>
      </w:tr>
      <w:tr w:rsidR="00904340" w:rsidRPr="00A7454C" w14:paraId="13072A5D" w14:textId="77777777" w:rsidTr="000578E2">
        <w:trPr>
          <w:jc w:val="center"/>
        </w:trPr>
        <w:tc>
          <w:tcPr>
            <w:tcW w:w="2430" w:type="dxa"/>
          </w:tcPr>
          <w:p w14:paraId="5EC44EA3" w14:textId="77777777" w:rsidR="00904340" w:rsidRPr="00A7454C" w:rsidRDefault="00904340" w:rsidP="000578E2">
            <w:pPr>
              <w:jc w:val="both"/>
              <w:rPr>
                <w:rFonts w:ascii="Calibri" w:hAnsi="Calibri"/>
                <w:sz w:val="20"/>
                <w:szCs w:val="20"/>
              </w:rPr>
            </w:pPr>
            <w:r w:rsidRPr="00A7454C">
              <w:rPr>
                <w:rFonts w:ascii="Calibri" w:hAnsi="Calibri"/>
                <w:sz w:val="20"/>
                <w:szCs w:val="20"/>
              </w:rPr>
              <w:t>Council</w:t>
            </w:r>
            <w:r>
              <w:rPr>
                <w:rFonts w:ascii="Calibri" w:hAnsi="Calibri"/>
                <w:sz w:val="20"/>
                <w:szCs w:val="20"/>
              </w:rPr>
              <w:t>wo</w:t>
            </w:r>
            <w:r w:rsidRPr="00A7454C">
              <w:rPr>
                <w:rFonts w:ascii="Calibri" w:hAnsi="Calibri"/>
                <w:sz w:val="20"/>
                <w:szCs w:val="20"/>
              </w:rPr>
              <w:t xml:space="preserve">man </w:t>
            </w:r>
            <w:r>
              <w:rPr>
                <w:rFonts w:ascii="Calibri" w:hAnsi="Calibri"/>
                <w:sz w:val="20"/>
                <w:szCs w:val="20"/>
              </w:rPr>
              <w:t xml:space="preserve">Anthony </w:t>
            </w:r>
          </w:p>
        </w:tc>
        <w:tc>
          <w:tcPr>
            <w:tcW w:w="720" w:type="dxa"/>
          </w:tcPr>
          <w:p w14:paraId="2C09B4A8" w14:textId="67BAC8C0" w:rsidR="00904340" w:rsidRPr="00A7454C" w:rsidRDefault="00C462C0" w:rsidP="000578E2">
            <w:pPr>
              <w:jc w:val="center"/>
              <w:rPr>
                <w:rFonts w:ascii="Calibri" w:hAnsi="Calibri"/>
                <w:sz w:val="20"/>
                <w:szCs w:val="20"/>
              </w:rPr>
            </w:pPr>
            <w:r>
              <w:rPr>
                <w:rFonts w:ascii="Calibri" w:hAnsi="Calibri"/>
                <w:sz w:val="20"/>
                <w:szCs w:val="20"/>
              </w:rPr>
              <w:t>X</w:t>
            </w:r>
          </w:p>
        </w:tc>
        <w:tc>
          <w:tcPr>
            <w:tcW w:w="900" w:type="dxa"/>
          </w:tcPr>
          <w:p w14:paraId="0B646B06" w14:textId="77777777" w:rsidR="00904340" w:rsidRPr="00A7454C" w:rsidRDefault="00904340" w:rsidP="000578E2">
            <w:pPr>
              <w:jc w:val="center"/>
              <w:rPr>
                <w:rFonts w:ascii="Calibri" w:hAnsi="Calibri"/>
                <w:sz w:val="20"/>
                <w:szCs w:val="20"/>
              </w:rPr>
            </w:pPr>
          </w:p>
        </w:tc>
        <w:tc>
          <w:tcPr>
            <w:tcW w:w="1080" w:type="dxa"/>
          </w:tcPr>
          <w:p w14:paraId="266A7E6D" w14:textId="77777777" w:rsidR="00904340" w:rsidRPr="00A7454C" w:rsidRDefault="00904340" w:rsidP="000578E2">
            <w:pPr>
              <w:jc w:val="center"/>
              <w:rPr>
                <w:rFonts w:ascii="Calibri" w:hAnsi="Calibri"/>
                <w:sz w:val="20"/>
                <w:szCs w:val="20"/>
              </w:rPr>
            </w:pPr>
          </w:p>
        </w:tc>
        <w:tc>
          <w:tcPr>
            <w:tcW w:w="990" w:type="dxa"/>
          </w:tcPr>
          <w:p w14:paraId="5E80ECBE" w14:textId="77777777" w:rsidR="00904340" w:rsidRPr="00A7454C" w:rsidRDefault="00904340" w:rsidP="000578E2">
            <w:pPr>
              <w:jc w:val="both"/>
              <w:rPr>
                <w:rFonts w:ascii="Calibri" w:hAnsi="Calibri"/>
                <w:sz w:val="20"/>
                <w:szCs w:val="20"/>
              </w:rPr>
            </w:pPr>
          </w:p>
        </w:tc>
      </w:tr>
    </w:tbl>
    <w:p w14:paraId="14F0F67F" w14:textId="77777777" w:rsidR="00904340" w:rsidRDefault="00904340" w:rsidP="00904340">
      <w:pPr>
        <w:jc w:val="center"/>
        <w:rPr>
          <w:sz w:val="16"/>
          <w:szCs w:val="16"/>
        </w:rPr>
      </w:pPr>
    </w:p>
    <w:p w14:paraId="7B2D2F43" w14:textId="77777777" w:rsidR="00904340" w:rsidRDefault="00904340" w:rsidP="00904340">
      <w:pPr>
        <w:jc w:val="center"/>
        <w:rPr>
          <w:sz w:val="16"/>
          <w:szCs w:val="16"/>
        </w:rPr>
      </w:pPr>
    </w:p>
    <w:p w14:paraId="0F7B2856" w14:textId="77777777" w:rsidR="00904340" w:rsidRDefault="00904340" w:rsidP="00904340">
      <w:pPr>
        <w:jc w:val="center"/>
        <w:rPr>
          <w:sz w:val="16"/>
          <w:szCs w:val="16"/>
        </w:rPr>
      </w:pPr>
    </w:p>
    <w:p w14:paraId="7A6D69CB" w14:textId="77777777" w:rsidR="00904340" w:rsidRPr="000B1329" w:rsidRDefault="00904340" w:rsidP="00904340">
      <w:pPr>
        <w:jc w:val="both"/>
        <w:rPr>
          <w:b/>
        </w:rPr>
      </w:pPr>
      <w:r w:rsidRPr="000B1329">
        <w:rPr>
          <w:b/>
          <w:u w:val="single"/>
        </w:rPr>
        <w:t>ATTEST</w:t>
      </w:r>
      <w:r w:rsidRPr="000B1329">
        <w:rPr>
          <w:b/>
        </w:rPr>
        <w:t>:</w:t>
      </w:r>
    </w:p>
    <w:p w14:paraId="52809225" w14:textId="77777777" w:rsidR="00904340" w:rsidRPr="000B1329" w:rsidRDefault="00904340" w:rsidP="00904340">
      <w:pPr>
        <w:jc w:val="both"/>
      </w:pPr>
    </w:p>
    <w:p w14:paraId="297389F5" w14:textId="5BC6B457" w:rsidR="00904340" w:rsidRPr="000B1329" w:rsidRDefault="00904340" w:rsidP="00904340">
      <w:pPr>
        <w:jc w:val="both"/>
      </w:pPr>
      <w:r w:rsidRPr="000B1329">
        <w:t xml:space="preserve">I hereby certify that the foregoing Resolution was adopted by the governing body of </w:t>
      </w:r>
      <w:r>
        <w:t>the Borough of Sea Girt</w:t>
      </w:r>
      <w:r w:rsidRPr="000B1329">
        <w:t xml:space="preserve"> on</w:t>
      </w:r>
      <w:r>
        <w:t xml:space="preserve"> December 9, </w:t>
      </w:r>
      <w:r w:rsidRPr="000B1329">
        <w:t>20</w:t>
      </w:r>
      <w:r>
        <w:t>20</w:t>
      </w:r>
      <w:r w:rsidRPr="000B1329">
        <w:t>.</w:t>
      </w:r>
    </w:p>
    <w:p w14:paraId="16971046" w14:textId="77777777" w:rsidR="00904340" w:rsidRDefault="00904340" w:rsidP="00904340">
      <w:pPr>
        <w:ind w:left="720"/>
        <w:jc w:val="center"/>
        <w:rPr>
          <w:color w:val="000000"/>
          <w:sz w:val="22"/>
          <w:szCs w:val="22"/>
        </w:rPr>
      </w:pPr>
    </w:p>
    <w:p w14:paraId="3C581C08" w14:textId="77777777" w:rsidR="00904340" w:rsidRPr="00A7454C" w:rsidRDefault="00904340" w:rsidP="00904340">
      <w:pPr>
        <w:ind w:left="720"/>
        <w:jc w:val="center"/>
        <w:rPr>
          <w:color w:val="000000"/>
          <w:sz w:val="22"/>
          <w:szCs w:val="22"/>
        </w:rPr>
      </w:pPr>
    </w:p>
    <w:p w14:paraId="1B382724" w14:textId="77777777" w:rsidR="00904340" w:rsidRPr="00A7454C" w:rsidRDefault="00904340" w:rsidP="00904340">
      <w:pPr>
        <w:ind w:left="720"/>
        <w:jc w:val="center"/>
        <w:rPr>
          <w:color w:val="000000"/>
          <w:sz w:val="22"/>
          <w:szCs w:val="22"/>
        </w:rPr>
      </w:pPr>
    </w:p>
    <w:p w14:paraId="54424773" w14:textId="77777777" w:rsidR="00904340" w:rsidRPr="00A7454C" w:rsidRDefault="00904340" w:rsidP="00904340">
      <w:pPr>
        <w:jc w:val="right"/>
        <w:rPr>
          <w:color w:val="000000"/>
          <w:sz w:val="22"/>
          <w:szCs w:val="22"/>
        </w:rPr>
      </w:pPr>
      <w:r w:rsidRPr="00A7454C">
        <w:rPr>
          <w:color w:val="000000"/>
          <w:sz w:val="22"/>
          <w:szCs w:val="22"/>
        </w:rPr>
        <w:t>______________________________________</w:t>
      </w:r>
    </w:p>
    <w:p w14:paraId="0DBBE989" w14:textId="77777777" w:rsidR="00904340" w:rsidRPr="00A7454C" w:rsidRDefault="00904340" w:rsidP="00904340">
      <w:pPr>
        <w:jc w:val="right"/>
        <w:rPr>
          <w:color w:val="000000"/>
          <w:sz w:val="22"/>
          <w:szCs w:val="22"/>
        </w:rPr>
      </w:pPr>
      <w:r w:rsidRPr="00A7454C">
        <w:rPr>
          <w:color w:val="000000"/>
          <w:sz w:val="22"/>
          <w:szCs w:val="22"/>
        </w:rPr>
        <w:t>Lorraine P. Carafa, RMC</w:t>
      </w:r>
    </w:p>
    <w:p w14:paraId="7CFAEFAD" w14:textId="6E039FD7" w:rsidR="00904340" w:rsidRPr="003C52B0" w:rsidRDefault="00904340" w:rsidP="00904340">
      <w:pPr>
        <w:jc w:val="right"/>
      </w:pPr>
      <w:r w:rsidRPr="00A7454C">
        <w:rPr>
          <w:color w:val="000000"/>
          <w:sz w:val="22"/>
          <w:szCs w:val="22"/>
        </w:rPr>
        <w:t>Municipal Clerk</w:t>
      </w:r>
      <w:r>
        <w:rPr>
          <w:color w:val="000000"/>
          <w:sz w:val="22"/>
          <w:szCs w:val="22"/>
        </w:rPr>
        <w:t>-Administrator</w:t>
      </w:r>
    </w:p>
    <w:sectPr w:rsidR="00904340" w:rsidRPr="003C52B0" w:rsidSect="0020603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1938" w14:textId="77777777" w:rsidR="006806A3" w:rsidRDefault="006806A3" w:rsidP="006806A3">
      <w:r>
        <w:separator/>
      </w:r>
    </w:p>
  </w:endnote>
  <w:endnote w:type="continuationSeparator" w:id="0">
    <w:p w14:paraId="7E6A7CF6" w14:textId="77777777" w:rsidR="006806A3" w:rsidRDefault="006806A3" w:rsidP="006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42637"/>
      <w:docPartObj>
        <w:docPartGallery w:val="Page Numbers (Bottom of Page)"/>
        <w:docPartUnique/>
      </w:docPartObj>
    </w:sdtPr>
    <w:sdtEndPr>
      <w:rPr>
        <w:noProof/>
      </w:rPr>
    </w:sdtEndPr>
    <w:sdtContent>
      <w:p w14:paraId="45D67C21" w14:textId="77777777" w:rsidR="0074157F" w:rsidRDefault="0074157F" w:rsidP="0074157F">
        <w:pPr>
          <w:pStyle w:val="Footer"/>
          <w:jc w:val="center"/>
        </w:pPr>
        <w:r>
          <w:fldChar w:fldCharType="begin"/>
        </w:r>
        <w:r>
          <w:instrText xml:space="preserve"> PAGE   \* MERGEFORMAT </w:instrText>
        </w:r>
        <w:r>
          <w:fldChar w:fldCharType="separate"/>
        </w:r>
        <w:r w:rsidR="002F2C5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0D6EF" w14:textId="77777777" w:rsidR="006806A3" w:rsidRDefault="006806A3" w:rsidP="006806A3">
      <w:r>
        <w:separator/>
      </w:r>
    </w:p>
  </w:footnote>
  <w:footnote w:type="continuationSeparator" w:id="0">
    <w:p w14:paraId="41FB5B1E" w14:textId="77777777" w:rsidR="006806A3" w:rsidRDefault="006806A3" w:rsidP="0068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CF7"/>
    <w:multiLevelType w:val="hybridMultilevel"/>
    <w:tmpl w:val="51D6DABC"/>
    <w:lvl w:ilvl="0" w:tplc="92A4297E">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5B047AF"/>
    <w:multiLevelType w:val="hybridMultilevel"/>
    <w:tmpl w:val="466E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14EE0"/>
    <w:multiLevelType w:val="hybridMultilevel"/>
    <w:tmpl w:val="D4DCB01A"/>
    <w:lvl w:ilvl="0" w:tplc="6B66C80A">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31F96113"/>
    <w:multiLevelType w:val="hybridMultilevel"/>
    <w:tmpl w:val="371C7516"/>
    <w:lvl w:ilvl="0" w:tplc="39027F96">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7B75487"/>
    <w:multiLevelType w:val="hybridMultilevel"/>
    <w:tmpl w:val="4962BA9A"/>
    <w:lvl w:ilvl="0" w:tplc="D722D29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B6"/>
    <w:rsid w:val="00004B9E"/>
    <w:rsid w:val="00020ED7"/>
    <w:rsid w:val="000215BD"/>
    <w:rsid w:val="000229DB"/>
    <w:rsid w:val="00024A69"/>
    <w:rsid w:val="00026F3E"/>
    <w:rsid w:val="00045A09"/>
    <w:rsid w:val="00050A0B"/>
    <w:rsid w:val="00051954"/>
    <w:rsid w:val="00060EE2"/>
    <w:rsid w:val="00083AD8"/>
    <w:rsid w:val="000844B0"/>
    <w:rsid w:val="000A3B27"/>
    <w:rsid w:val="000B1329"/>
    <w:rsid w:val="000B18C0"/>
    <w:rsid w:val="000C7941"/>
    <w:rsid w:val="000D5961"/>
    <w:rsid w:val="000E21DF"/>
    <w:rsid w:val="000F2C7A"/>
    <w:rsid w:val="00101D8C"/>
    <w:rsid w:val="00107A9B"/>
    <w:rsid w:val="00132730"/>
    <w:rsid w:val="00142EC4"/>
    <w:rsid w:val="00154B1C"/>
    <w:rsid w:val="00154DDD"/>
    <w:rsid w:val="001819CD"/>
    <w:rsid w:val="00190AD0"/>
    <w:rsid w:val="00191888"/>
    <w:rsid w:val="001B32A0"/>
    <w:rsid w:val="001B4A3D"/>
    <w:rsid w:val="001C11AD"/>
    <w:rsid w:val="001C4210"/>
    <w:rsid w:val="001C4EE7"/>
    <w:rsid w:val="001C4EF1"/>
    <w:rsid w:val="001C7E72"/>
    <w:rsid w:val="001E539B"/>
    <w:rsid w:val="001E79D5"/>
    <w:rsid w:val="001F1153"/>
    <w:rsid w:val="0020315F"/>
    <w:rsid w:val="00206035"/>
    <w:rsid w:val="00216059"/>
    <w:rsid w:val="00221FD3"/>
    <w:rsid w:val="00222460"/>
    <w:rsid w:val="00222FF5"/>
    <w:rsid w:val="002245D7"/>
    <w:rsid w:val="00245F12"/>
    <w:rsid w:val="00246A8B"/>
    <w:rsid w:val="00254954"/>
    <w:rsid w:val="00276336"/>
    <w:rsid w:val="002808B7"/>
    <w:rsid w:val="00295553"/>
    <w:rsid w:val="002A0364"/>
    <w:rsid w:val="002A15F7"/>
    <w:rsid w:val="002A7554"/>
    <w:rsid w:val="002B1F9B"/>
    <w:rsid w:val="002B648E"/>
    <w:rsid w:val="002C0D8E"/>
    <w:rsid w:val="002C1C41"/>
    <w:rsid w:val="002C2849"/>
    <w:rsid w:val="002C7E10"/>
    <w:rsid w:val="002E475E"/>
    <w:rsid w:val="002E5F40"/>
    <w:rsid w:val="002F1F48"/>
    <w:rsid w:val="002F2556"/>
    <w:rsid w:val="002F2C57"/>
    <w:rsid w:val="002F4449"/>
    <w:rsid w:val="00302365"/>
    <w:rsid w:val="003064C5"/>
    <w:rsid w:val="00316E22"/>
    <w:rsid w:val="00324234"/>
    <w:rsid w:val="00326974"/>
    <w:rsid w:val="00327876"/>
    <w:rsid w:val="00333330"/>
    <w:rsid w:val="0034305D"/>
    <w:rsid w:val="00353CA1"/>
    <w:rsid w:val="00380AA4"/>
    <w:rsid w:val="003A6776"/>
    <w:rsid w:val="003B274F"/>
    <w:rsid w:val="003B37DC"/>
    <w:rsid w:val="003C0216"/>
    <w:rsid w:val="003C1B21"/>
    <w:rsid w:val="003C79F0"/>
    <w:rsid w:val="003D11CE"/>
    <w:rsid w:val="003D5711"/>
    <w:rsid w:val="003D5B05"/>
    <w:rsid w:val="003D6D6F"/>
    <w:rsid w:val="003E145C"/>
    <w:rsid w:val="003F7EB4"/>
    <w:rsid w:val="00407FCD"/>
    <w:rsid w:val="0042548E"/>
    <w:rsid w:val="0044795D"/>
    <w:rsid w:val="00455646"/>
    <w:rsid w:val="00470F42"/>
    <w:rsid w:val="00482544"/>
    <w:rsid w:val="004874EB"/>
    <w:rsid w:val="004921F2"/>
    <w:rsid w:val="00492A80"/>
    <w:rsid w:val="0049679F"/>
    <w:rsid w:val="004A25B8"/>
    <w:rsid w:val="004B5424"/>
    <w:rsid w:val="004C108F"/>
    <w:rsid w:val="004F3046"/>
    <w:rsid w:val="004F43C4"/>
    <w:rsid w:val="00514828"/>
    <w:rsid w:val="0052022A"/>
    <w:rsid w:val="00520C13"/>
    <w:rsid w:val="00531D94"/>
    <w:rsid w:val="00535331"/>
    <w:rsid w:val="00536AE9"/>
    <w:rsid w:val="0054190D"/>
    <w:rsid w:val="005732B4"/>
    <w:rsid w:val="00575EF8"/>
    <w:rsid w:val="00580E17"/>
    <w:rsid w:val="00590217"/>
    <w:rsid w:val="005905C1"/>
    <w:rsid w:val="00590BD7"/>
    <w:rsid w:val="00590BE4"/>
    <w:rsid w:val="005928BB"/>
    <w:rsid w:val="00596824"/>
    <w:rsid w:val="005A21D8"/>
    <w:rsid w:val="005B573C"/>
    <w:rsid w:val="005D0211"/>
    <w:rsid w:val="005E75A3"/>
    <w:rsid w:val="005F4D7D"/>
    <w:rsid w:val="00611F0A"/>
    <w:rsid w:val="00622BB2"/>
    <w:rsid w:val="006267FC"/>
    <w:rsid w:val="00634EDF"/>
    <w:rsid w:val="00640999"/>
    <w:rsid w:val="006566C8"/>
    <w:rsid w:val="006671F3"/>
    <w:rsid w:val="00670365"/>
    <w:rsid w:val="006806A3"/>
    <w:rsid w:val="006A3B3A"/>
    <w:rsid w:val="006A5149"/>
    <w:rsid w:val="006B2A64"/>
    <w:rsid w:val="006C00B1"/>
    <w:rsid w:val="006C2882"/>
    <w:rsid w:val="006C2A19"/>
    <w:rsid w:val="006D29B9"/>
    <w:rsid w:val="006D68F3"/>
    <w:rsid w:val="006D728B"/>
    <w:rsid w:val="006E72BB"/>
    <w:rsid w:val="006F63EB"/>
    <w:rsid w:val="00712DC1"/>
    <w:rsid w:val="00713932"/>
    <w:rsid w:val="007166BC"/>
    <w:rsid w:val="0074157F"/>
    <w:rsid w:val="00744FEB"/>
    <w:rsid w:val="00753A10"/>
    <w:rsid w:val="00757C1F"/>
    <w:rsid w:val="00757DB4"/>
    <w:rsid w:val="00762460"/>
    <w:rsid w:val="00763BE8"/>
    <w:rsid w:val="00764B2D"/>
    <w:rsid w:val="00770275"/>
    <w:rsid w:val="00774CD5"/>
    <w:rsid w:val="0078784F"/>
    <w:rsid w:val="00797505"/>
    <w:rsid w:val="00797D7D"/>
    <w:rsid w:val="00797F6E"/>
    <w:rsid w:val="007B4030"/>
    <w:rsid w:val="007C4DDB"/>
    <w:rsid w:val="007D64C0"/>
    <w:rsid w:val="007E2FA2"/>
    <w:rsid w:val="007E3F11"/>
    <w:rsid w:val="007F6599"/>
    <w:rsid w:val="0081573D"/>
    <w:rsid w:val="00821F26"/>
    <w:rsid w:val="00827F38"/>
    <w:rsid w:val="00837429"/>
    <w:rsid w:val="00841E37"/>
    <w:rsid w:val="00844B87"/>
    <w:rsid w:val="008462FE"/>
    <w:rsid w:val="00847274"/>
    <w:rsid w:val="008534E5"/>
    <w:rsid w:val="00854A72"/>
    <w:rsid w:val="00861E76"/>
    <w:rsid w:val="008834A2"/>
    <w:rsid w:val="00897C22"/>
    <w:rsid w:val="008A0482"/>
    <w:rsid w:val="008A1807"/>
    <w:rsid w:val="008A4347"/>
    <w:rsid w:val="008B17FA"/>
    <w:rsid w:val="008C5225"/>
    <w:rsid w:val="008E0626"/>
    <w:rsid w:val="008F70EB"/>
    <w:rsid w:val="00904340"/>
    <w:rsid w:val="00904FDE"/>
    <w:rsid w:val="00912090"/>
    <w:rsid w:val="009120B6"/>
    <w:rsid w:val="0092747F"/>
    <w:rsid w:val="00955C72"/>
    <w:rsid w:val="009654BA"/>
    <w:rsid w:val="00967F1B"/>
    <w:rsid w:val="00983036"/>
    <w:rsid w:val="009B4522"/>
    <w:rsid w:val="009C5A5F"/>
    <w:rsid w:val="009D64FA"/>
    <w:rsid w:val="009D7B17"/>
    <w:rsid w:val="009E2CE9"/>
    <w:rsid w:val="009F13A6"/>
    <w:rsid w:val="009F60F1"/>
    <w:rsid w:val="00A069AA"/>
    <w:rsid w:val="00A16C23"/>
    <w:rsid w:val="00A52CC9"/>
    <w:rsid w:val="00A537E4"/>
    <w:rsid w:val="00A90B11"/>
    <w:rsid w:val="00A938B6"/>
    <w:rsid w:val="00A97758"/>
    <w:rsid w:val="00AB33D0"/>
    <w:rsid w:val="00AE2C2D"/>
    <w:rsid w:val="00AE4E12"/>
    <w:rsid w:val="00AE75FA"/>
    <w:rsid w:val="00AF4F32"/>
    <w:rsid w:val="00B11C25"/>
    <w:rsid w:val="00B15A7B"/>
    <w:rsid w:val="00B16C28"/>
    <w:rsid w:val="00B26BFC"/>
    <w:rsid w:val="00B31086"/>
    <w:rsid w:val="00B43D33"/>
    <w:rsid w:val="00B4455E"/>
    <w:rsid w:val="00B47FAD"/>
    <w:rsid w:val="00B91A88"/>
    <w:rsid w:val="00B927E2"/>
    <w:rsid w:val="00B972F5"/>
    <w:rsid w:val="00BB2232"/>
    <w:rsid w:val="00BC64F7"/>
    <w:rsid w:val="00BD3010"/>
    <w:rsid w:val="00BE3AA7"/>
    <w:rsid w:val="00BE4817"/>
    <w:rsid w:val="00BF58DA"/>
    <w:rsid w:val="00BF6A7B"/>
    <w:rsid w:val="00C1071A"/>
    <w:rsid w:val="00C12022"/>
    <w:rsid w:val="00C21382"/>
    <w:rsid w:val="00C21FB2"/>
    <w:rsid w:val="00C27045"/>
    <w:rsid w:val="00C329E3"/>
    <w:rsid w:val="00C35DD0"/>
    <w:rsid w:val="00C462C0"/>
    <w:rsid w:val="00C50254"/>
    <w:rsid w:val="00C619F6"/>
    <w:rsid w:val="00C624FE"/>
    <w:rsid w:val="00C74340"/>
    <w:rsid w:val="00C77460"/>
    <w:rsid w:val="00C95F7A"/>
    <w:rsid w:val="00CA2E32"/>
    <w:rsid w:val="00CA6329"/>
    <w:rsid w:val="00CB67EA"/>
    <w:rsid w:val="00CC4AB0"/>
    <w:rsid w:val="00D01447"/>
    <w:rsid w:val="00D04DF0"/>
    <w:rsid w:val="00D35D72"/>
    <w:rsid w:val="00D45DDA"/>
    <w:rsid w:val="00D47149"/>
    <w:rsid w:val="00D471C5"/>
    <w:rsid w:val="00D726F4"/>
    <w:rsid w:val="00D91045"/>
    <w:rsid w:val="00D911DD"/>
    <w:rsid w:val="00D91A40"/>
    <w:rsid w:val="00DA3038"/>
    <w:rsid w:val="00DA444C"/>
    <w:rsid w:val="00DA7BEC"/>
    <w:rsid w:val="00DB67AA"/>
    <w:rsid w:val="00DB732D"/>
    <w:rsid w:val="00DC72DF"/>
    <w:rsid w:val="00DD1032"/>
    <w:rsid w:val="00DD222B"/>
    <w:rsid w:val="00DD2CB1"/>
    <w:rsid w:val="00DD319A"/>
    <w:rsid w:val="00DF05C7"/>
    <w:rsid w:val="00E010E9"/>
    <w:rsid w:val="00E0338B"/>
    <w:rsid w:val="00E22F03"/>
    <w:rsid w:val="00E33283"/>
    <w:rsid w:val="00E34643"/>
    <w:rsid w:val="00E7071D"/>
    <w:rsid w:val="00E75D3F"/>
    <w:rsid w:val="00E768F0"/>
    <w:rsid w:val="00E80D12"/>
    <w:rsid w:val="00E8153B"/>
    <w:rsid w:val="00E8173E"/>
    <w:rsid w:val="00E81D70"/>
    <w:rsid w:val="00E828C3"/>
    <w:rsid w:val="00E94B77"/>
    <w:rsid w:val="00E952A0"/>
    <w:rsid w:val="00E95D92"/>
    <w:rsid w:val="00EA1456"/>
    <w:rsid w:val="00EA228B"/>
    <w:rsid w:val="00EC2AE2"/>
    <w:rsid w:val="00EC7C65"/>
    <w:rsid w:val="00ED1C27"/>
    <w:rsid w:val="00ED50AE"/>
    <w:rsid w:val="00EE2104"/>
    <w:rsid w:val="00EF37A3"/>
    <w:rsid w:val="00F0311C"/>
    <w:rsid w:val="00F052DD"/>
    <w:rsid w:val="00F10C16"/>
    <w:rsid w:val="00F17AC8"/>
    <w:rsid w:val="00F2467B"/>
    <w:rsid w:val="00F27DDE"/>
    <w:rsid w:val="00F300AA"/>
    <w:rsid w:val="00F34FCA"/>
    <w:rsid w:val="00F36B13"/>
    <w:rsid w:val="00F57D70"/>
    <w:rsid w:val="00F709B9"/>
    <w:rsid w:val="00F913E8"/>
    <w:rsid w:val="00FB07C0"/>
    <w:rsid w:val="00FB6415"/>
    <w:rsid w:val="00FB7DF7"/>
    <w:rsid w:val="00FC3C93"/>
    <w:rsid w:val="00FC485B"/>
    <w:rsid w:val="00FD09A0"/>
    <w:rsid w:val="00FD396E"/>
    <w:rsid w:val="00FE20BF"/>
    <w:rsid w:val="00FE6859"/>
    <w:rsid w:val="00FE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B2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599"/>
    <w:rPr>
      <w:sz w:val="24"/>
      <w:szCs w:val="24"/>
    </w:rPr>
  </w:style>
  <w:style w:type="paragraph" w:styleId="Heading1">
    <w:name w:val="heading 1"/>
    <w:basedOn w:val="Normal"/>
    <w:next w:val="Normal"/>
    <w:qFormat/>
    <w:rsid w:val="007F6599"/>
    <w:pPr>
      <w:keepNext/>
      <w:autoSpaceDE w:val="0"/>
      <w:autoSpaceDN w:val="0"/>
      <w:adjustRightInd w:val="0"/>
      <w:ind w:left="720" w:right="990"/>
      <w:outlineLvl w:val="0"/>
    </w:pPr>
    <w:rPr>
      <w:rFonts w:ascii="Courier New" w:hAnsi="Courier New"/>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535331"/>
    <w:pPr>
      <w:spacing w:before="100" w:beforeAutospacing="1" w:after="100" w:afterAutospacing="1"/>
    </w:pPr>
  </w:style>
  <w:style w:type="paragraph" w:styleId="BalloonText">
    <w:name w:val="Balloon Text"/>
    <w:basedOn w:val="Normal"/>
    <w:semiHidden/>
    <w:rsid w:val="006D728B"/>
    <w:rPr>
      <w:rFonts w:ascii="Tahoma" w:hAnsi="Tahoma" w:cs="Tahoma"/>
      <w:sz w:val="16"/>
      <w:szCs w:val="16"/>
    </w:rPr>
  </w:style>
  <w:style w:type="table" w:styleId="TableGrid">
    <w:name w:val="Table Grid"/>
    <w:basedOn w:val="TableNormal"/>
    <w:rsid w:val="00B2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06A3"/>
    <w:pPr>
      <w:tabs>
        <w:tab w:val="center" w:pos="4680"/>
        <w:tab w:val="right" w:pos="9360"/>
      </w:tabs>
    </w:pPr>
  </w:style>
  <w:style w:type="character" w:customStyle="1" w:styleId="HeaderChar">
    <w:name w:val="Header Char"/>
    <w:basedOn w:val="DefaultParagraphFont"/>
    <w:link w:val="Header"/>
    <w:rsid w:val="006806A3"/>
    <w:rPr>
      <w:sz w:val="24"/>
      <w:szCs w:val="24"/>
    </w:rPr>
  </w:style>
  <w:style w:type="paragraph" w:styleId="Footer">
    <w:name w:val="footer"/>
    <w:basedOn w:val="Normal"/>
    <w:link w:val="FooterChar"/>
    <w:uiPriority w:val="99"/>
    <w:rsid w:val="006806A3"/>
    <w:pPr>
      <w:tabs>
        <w:tab w:val="center" w:pos="4680"/>
        <w:tab w:val="right" w:pos="9360"/>
      </w:tabs>
    </w:pPr>
  </w:style>
  <w:style w:type="character" w:customStyle="1" w:styleId="FooterChar">
    <w:name w:val="Footer Char"/>
    <w:basedOn w:val="DefaultParagraphFont"/>
    <w:link w:val="Footer"/>
    <w:uiPriority w:val="99"/>
    <w:rsid w:val="006806A3"/>
    <w:rPr>
      <w:sz w:val="24"/>
      <w:szCs w:val="24"/>
    </w:rPr>
  </w:style>
  <w:style w:type="paragraph" w:customStyle="1" w:styleId="BodyTextDbl">
    <w:name w:val="* Body Text Dbl"/>
    <w:basedOn w:val="Normal"/>
    <w:uiPriority w:val="99"/>
    <w:rsid w:val="006E72BB"/>
    <w:pPr>
      <w:spacing w:line="48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599"/>
    <w:rPr>
      <w:sz w:val="24"/>
      <w:szCs w:val="24"/>
    </w:rPr>
  </w:style>
  <w:style w:type="paragraph" w:styleId="Heading1">
    <w:name w:val="heading 1"/>
    <w:basedOn w:val="Normal"/>
    <w:next w:val="Normal"/>
    <w:qFormat/>
    <w:rsid w:val="007F6599"/>
    <w:pPr>
      <w:keepNext/>
      <w:autoSpaceDE w:val="0"/>
      <w:autoSpaceDN w:val="0"/>
      <w:adjustRightInd w:val="0"/>
      <w:ind w:left="720" w:right="990"/>
      <w:outlineLvl w:val="0"/>
    </w:pPr>
    <w:rPr>
      <w:rFonts w:ascii="Courier New" w:hAnsi="Courier New"/>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535331"/>
    <w:pPr>
      <w:spacing w:before="100" w:beforeAutospacing="1" w:after="100" w:afterAutospacing="1"/>
    </w:pPr>
  </w:style>
  <w:style w:type="paragraph" w:styleId="BalloonText">
    <w:name w:val="Balloon Text"/>
    <w:basedOn w:val="Normal"/>
    <w:semiHidden/>
    <w:rsid w:val="006D728B"/>
    <w:rPr>
      <w:rFonts w:ascii="Tahoma" w:hAnsi="Tahoma" w:cs="Tahoma"/>
      <w:sz w:val="16"/>
      <w:szCs w:val="16"/>
    </w:rPr>
  </w:style>
  <w:style w:type="table" w:styleId="TableGrid">
    <w:name w:val="Table Grid"/>
    <w:basedOn w:val="TableNormal"/>
    <w:rsid w:val="00B2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06A3"/>
    <w:pPr>
      <w:tabs>
        <w:tab w:val="center" w:pos="4680"/>
        <w:tab w:val="right" w:pos="9360"/>
      </w:tabs>
    </w:pPr>
  </w:style>
  <w:style w:type="character" w:customStyle="1" w:styleId="HeaderChar">
    <w:name w:val="Header Char"/>
    <w:basedOn w:val="DefaultParagraphFont"/>
    <w:link w:val="Header"/>
    <w:rsid w:val="006806A3"/>
    <w:rPr>
      <w:sz w:val="24"/>
      <w:szCs w:val="24"/>
    </w:rPr>
  </w:style>
  <w:style w:type="paragraph" w:styleId="Footer">
    <w:name w:val="footer"/>
    <w:basedOn w:val="Normal"/>
    <w:link w:val="FooterChar"/>
    <w:uiPriority w:val="99"/>
    <w:rsid w:val="006806A3"/>
    <w:pPr>
      <w:tabs>
        <w:tab w:val="center" w:pos="4680"/>
        <w:tab w:val="right" w:pos="9360"/>
      </w:tabs>
    </w:pPr>
  </w:style>
  <w:style w:type="character" w:customStyle="1" w:styleId="FooterChar">
    <w:name w:val="Footer Char"/>
    <w:basedOn w:val="DefaultParagraphFont"/>
    <w:link w:val="Footer"/>
    <w:uiPriority w:val="99"/>
    <w:rsid w:val="006806A3"/>
    <w:rPr>
      <w:sz w:val="24"/>
      <w:szCs w:val="24"/>
    </w:rPr>
  </w:style>
  <w:style w:type="paragraph" w:customStyle="1" w:styleId="BodyTextDbl">
    <w:name w:val="* Body Text Dbl"/>
    <w:basedOn w:val="Normal"/>
    <w:uiPriority w:val="99"/>
    <w:rsid w:val="006E72BB"/>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#2006-</vt:lpstr>
    </vt:vector>
  </TitlesOfParts>
  <Company>DeCotiis, FitzPatrick, Gluck &amp; Cole, LLP</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#2006-</dc:title>
  <dc:creator>manderson</dc:creator>
  <cp:lastModifiedBy>Stacey Goodwin</cp:lastModifiedBy>
  <cp:revision>7</cp:revision>
  <cp:lastPrinted>2020-12-10T16:22:00Z</cp:lastPrinted>
  <dcterms:created xsi:type="dcterms:W3CDTF">2020-12-03T13:23:00Z</dcterms:created>
  <dcterms:modified xsi:type="dcterms:W3CDTF">2020-12-15T16:36:00Z</dcterms:modified>
</cp:coreProperties>
</file>