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A1" w:rsidRPr="005322D5" w:rsidRDefault="00D90BA1" w:rsidP="00D90B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5322D5">
        <w:rPr>
          <w:rFonts w:ascii="Times New Roman" w:hAnsi="Times New Roman" w:cs="Times New Roman"/>
          <w:b/>
          <w:bCs/>
          <w:sz w:val="22"/>
          <w:szCs w:val="22"/>
        </w:rPr>
        <w:t xml:space="preserve">RESOLUTION </w:t>
      </w:r>
      <w:r>
        <w:rPr>
          <w:rFonts w:ascii="Times New Roman" w:hAnsi="Times New Roman" w:cs="Times New Roman"/>
          <w:b/>
          <w:bCs/>
          <w:sz w:val="22"/>
          <w:szCs w:val="22"/>
        </w:rPr>
        <w:t>No.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07DBA">
        <w:rPr>
          <w:rFonts w:ascii="Times New Roman" w:hAnsi="Times New Roman" w:cs="Times New Roman"/>
          <w:b/>
          <w:bCs/>
          <w:sz w:val="22"/>
          <w:szCs w:val="22"/>
        </w:rPr>
        <w:t>-2022</w:t>
      </w:r>
    </w:p>
    <w:p w:rsidR="00D90BA1" w:rsidRPr="005322D5" w:rsidRDefault="00D90BA1" w:rsidP="00D90B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90BA1" w:rsidRPr="005322D5" w:rsidRDefault="00D90BA1" w:rsidP="00D90B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2D5">
        <w:rPr>
          <w:rFonts w:ascii="Times New Roman" w:hAnsi="Times New Roman" w:cs="Times New Roman"/>
          <w:b/>
          <w:bCs/>
          <w:sz w:val="22"/>
          <w:szCs w:val="22"/>
        </w:rPr>
        <w:t>BOROUGH OF SEA GIRT</w:t>
      </w:r>
      <w:r w:rsidR="00C502F0">
        <w:rPr>
          <w:rFonts w:ascii="Times New Roman" w:hAnsi="Times New Roman" w:cs="Times New Roman"/>
          <w:b/>
          <w:bCs/>
          <w:sz w:val="22"/>
          <w:szCs w:val="22"/>
        </w:rPr>
        <w:t xml:space="preserve"> RECREATION COMMISSION</w:t>
      </w:r>
    </w:p>
    <w:p w:rsidR="00D90BA1" w:rsidRPr="005322D5" w:rsidRDefault="00D90BA1" w:rsidP="00D90BA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2D5">
        <w:rPr>
          <w:rFonts w:ascii="Times New Roman" w:hAnsi="Times New Roman" w:cs="Times New Roman"/>
          <w:b/>
          <w:bCs/>
          <w:sz w:val="22"/>
          <w:szCs w:val="22"/>
        </w:rPr>
        <w:t>COUNTY OF MONMOUTH</w:t>
      </w:r>
    </w:p>
    <w:p w:rsidR="00D90BA1" w:rsidRPr="005322D5" w:rsidRDefault="00D90BA1" w:rsidP="00D90BA1">
      <w:pPr>
        <w:ind w:left="12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90BA1" w:rsidRDefault="00D90BA1" w:rsidP="00C502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22D5">
        <w:rPr>
          <w:rFonts w:ascii="Times New Roman" w:hAnsi="Times New Roman" w:cs="Times New Roman"/>
          <w:b/>
          <w:bCs/>
          <w:sz w:val="22"/>
          <w:szCs w:val="22"/>
        </w:rPr>
        <w:t>RESOLUTION</w:t>
      </w:r>
      <w:r w:rsidR="00C502F0">
        <w:rPr>
          <w:rFonts w:ascii="Times New Roman" w:hAnsi="Times New Roman" w:cs="Times New Roman"/>
          <w:b/>
          <w:bCs/>
          <w:sz w:val="22"/>
          <w:szCs w:val="22"/>
        </w:rPr>
        <w:t xml:space="preserve"> RECOMMENDING THE PLACEMENT OF ADDITIONAL PLATFORM TENNI</w:t>
      </w:r>
      <w:r w:rsidR="00433F8F">
        <w:rPr>
          <w:rFonts w:ascii="Times New Roman" w:hAnsi="Times New Roman" w:cs="Times New Roman"/>
          <w:b/>
          <w:bCs/>
          <w:sz w:val="22"/>
          <w:szCs w:val="22"/>
        </w:rPr>
        <w:t>S COURT IN CRESCENT PARK, PREPERATION OF BID SPECIFICATIONS, AND REQUESTING THE BOROUGH OF SEA GIRT TO CARRY OUT BID ACCEPTANCE PROCESS UTILIZING THE QUALIFIED PURCHASING AGENT OF THE BOROUGH</w:t>
      </w:r>
    </w:p>
    <w:p w:rsidR="00D90BA1" w:rsidRDefault="00D90BA1" w:rsidP="00D90BA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B94D37" w:rsidRDefault="00B94D37" w:rsidP="00D90BA1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UPON MOTION </w:t>
      </w:r>
      <w:r w:rsidR="00FA24C0">
        <w:rPr>
          <w:rFonts w:ascii="Times New Roman" w:hAnsi="Times New Roman" w:cs="Times New Roman"/>
          <w:bCs/>
          <w:sz w:val="22"/>
          <w:szCs w:val="22"/>
        </w:rPr>
        <w:t xml:space="preserve">of </w:t>
      </w:r>
      <w:r w:rsidR="00433F8F">
        <w:rPr>
          <w:rFonts w:ascii="Times New Roman" w:hAnsi="Times New Roman" w:cs="Times New Roman"/>
          <w:bCs/>
          <w:sz w:val="22"/>
          <w:szCs w:val="22"/>
        </w:rPr>
        <w:t>Commissioner _________</w:t>
      </w:r>
      <w:r w:rsidR="00FA24C0">
        <w:rPr>
          <w:rFonts w:ascii="Times New Roman" w:hAnsi="Times New Roman" w:cs="Times New Roman"/>
          <w:bCs/>
          <w:sz w:val="22"/>
          <w:szCs w:val="22"/>
        </w:rPr>
        <w:t>,</w:t>
      </w:r>
      <w:r w:rsidR="00407DBA">
        <w:rPr>
          <w:rFonts w:ascii="Times New Roman" w:hAnsi="Times New Roman" w:cs="Times New Roman"/>
          <w:bCs/>
          <w:sz w:val="22"/>
          <w:szCs w:val="22"/>
        </w:rPr>
        <w:t xml:space="preserve"> seconded by C</w:t>
      </w:r>
      <w:r w:rsidR="00433F8F">
        <w:rPr>
          <w:rFonts w:ascii="Times New Roman" w:hAnsi="Times New Roman" w:cs="Times New Roman"/>
          <w:bCs/>
          <w:sz w:val="22"/>
          <w:szCs w:val="22"/>
        </w:rPr>
        <w:t>ommissioner _________</w:t>
      </w:r>
      <w:r>
        <w:rPr>
          <w:rFonts w:ascii="Times New Roman" w:hAnsi="Times New Roman" w:cs="Times New Roman"/>
          <w:bCs/>
          <w:sz w:val="22"/>
          <w:szCs w:val="22"/>
        </w:rPr>
        <w:t xml:space="preserve">, carried, that the following Resolution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be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and the same is hereby adopted:</w:t>
      </w:r>
    </w:p>
    <w:p w:rsidR="00B94D37" w:rsidRDefault="00B94D37" w:rsidP="00D90BA1">
      <w:pPr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3912F7" w:rsidRDefault="00D90BA1" w:rsidP="00D90BA1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EA7222">
        <w:rPr>
          <w:rFonts w:ascii="Times New Roman" w:hAnsi="Times New Roman" w:cs="Times New Roman"/>
          <w:b/>
          <w:bCs/>
          <w:sz w:val="22"/>
          <w:szCs w:val="22"/>
        </w:rPr>
        <w:t>WHEREAS</w:t>
      </w:r>
      <w:r>
        <w:rPr>
          <w:rFonts w:ascii="Times New Roman" w:hAnsi="Times New Roman" w:cs="Times New Roman"/>
          <w:bCs/>
          <w:sz w:val="22"/>
          <w:szCs w:val="22"/>
        </w:rPr>
        <w:t>, the Sea Girt Recreation Commi</w:t>
      </w:r>
      <w:r w:rsidR="00B136EC">
        <w:rPr>
          <w:rFonts w:ascii="Times New Roman" w:hAnsi="Times New Roman" w:cs="Times New Roman"/>
          <w:bCs/>
          <w:sz w:val="22"/>
          <w:szCs w:val="22"/>
        </w:rPr>
        <w:t>ssion</w:t>
      </w:r>
      <w:r w:rsidR="00433F8F">
        <w:rPr>
          <w:rFonts w:ascii="Times New Roman" w:hAnsi="Times New Roman" w:cs="Times New Roman"/>
          <w:bCs/>
          <w:sz w:val="22"/>
          <w:szCs w:val="22"/>
        </w:rPr>
        <w:t xml:space="preserve"> wishes to provide enhanced Recreational opportunities for the residents and visitors of Sea Girt Borough</w:t>
      </w:r>
      <w:r w:rsidR="00646AA8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433F8F">
        <w:rPr>
          <w:rFonts w:ascii="Times New Roman" w:hAnsi="Times New Roman" w:cs="Times New Roman"/>
          <w:bCs/>
          <w:sz w:val="22"/>
          <w:szCs w:val="22"/>
        </w:rPr>
        <w:t>and</w:t>
      </w:r>
    </w:p>
    <w:p w:rsidR="00BC2619" w:rsidRDefault="00BC2619" w:rsidP="00D90BA1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</w:p>
    <w:p w:rsidR="00BC2619" w:rsidRDefault="00BC2619" w:rsidP="00D90BA1">
      <w:pPr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BC2619">
        <w:rPr>
          <w:rFonts w:ascii="Times New Roman" w:hAnsi="Times New Roman" w:cs="Times New Roman"/>
          <w:b/>
          <w:bCs/>
          <w:sz w:val="22"/>
          <w:szCs w:val="22"/>
        </w:rPr>
        <w:t>WHER</w:t>
      </w:r>
      <w:r w:rsidR="00F437C6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Pr="00BC2619">
        <w:rPr>
          <w:rFonts w:ascii="Times New Roman" w:hAnsi="Times New Roman" w:cs="Times New Roman"/>
          <w:b/>
          <w:bCs/>
          <w:sz w:val="22"/>
          <w:szCs w:val="22"/>
        </w:rPr>
        <w:t>AS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433F8F">
        <w:rPr>
          <w:rFonts w:ascii="Times New Roman" w:hAnsi="Times New Roman" w:cs="Times New Roman"/>
          <w:bCs/>
          <w:sz w:val="22"/>
          <w:szCs w:val="22"/>
        </w:rPr>
        <w:t xml:space="preserve">representatives of the Sea Girt Recreation Commission have vetted concerns of the public and have made various amendments to the original plans of the Platform Tennis Court location to include: the removal of a viewing area, lessening impact of tree removal, </w:t>
      </w:r>
      <w:r w:rsidR="001B39B8">
        <w:rPr>
          <w:rFonts w:ascii="Times New Roman" w:hAnsi="Times New Roman" w:cs="Times New Roman"/>
          <w:bCs/>
          <w:sz w:val="22"/>
          <w:szCs w:val="22"/>
        </w:rPr>
        <w:t>placement of the proposed court over an already developed area, and addition of an ADA accessible ramp</w:t>
      </w:r>
      <w:r w:rsidR="00646AA8">
        <w:rPr>
          <w:rFonts w:ascii="Times New Roman" w:hAnsi="Times New Roman" w:cs="Times New Roman"/>
          <w:bCs/>
          <w:sz w:val="22"/>
          <w:szCs w:val="22"/>
        </w:rPr>
        <w:t>;</w:t>
      </w:r>
      <w:r w:rsidR="001B39B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46AA8">
        <w:rPr>
          <w:rFonts w:ascii="Times New Roman" w:hAnsi="Times New Roman" w:cs="Times New Roman"/>
          <w:bCs/>
          <w:sz w:val="22"/>
          <w:szCs w:val="22"/>
        </w:rPr>
        <w:t>and</w:t>
      </w:r>
    </w:p>
    <w:p w:rsidR="00D90BA1" w:rsidRPr="00D90BA1" w:rsidRDefault="00D90BA1" w:rsidP="00D90BA1">
      <w:pPr>
        <w:rPr>
          <w:rFonts w:ascii="Times New Roman" w:hAnsi="Times New Roman" w:cs="Times New Roman"/>
          <w:bCs/>
          <w:sz w:val="16"/>
          <w:szCs w:val="16"/>
        </w:rPr>
      </w:pPr>
    </w:p>
    <w:p w:rsidR="00D90BA1" w:rsidRDefault="00D90BA1" w:rsidP="00D90BA1">
      <w:pPr>
        <w:rPr>
          <w:rFonts w:ascii="Times New Roman" w:hAnsi="Times New Roman" w:cs="Times New Roman"/>
          <w:bCs/>
          <w:sz w:val="22"/>
          <w:szCs w:val="22"/>
        </w:rPr>
      </w:pPr>
      <w:r w:rsidRPr="00D90BA1">
        <w:rPr>
          <w:rFonts w:ascii="Times New Roman" w:hAnsi="Times New Roman" w:cs="Times New Roman"/>
          <w:bCs/>
          <w:sz w:val="22"/>
          <w:szCs w:val="22"/>
        </w:rPr>
        <w:tab/>
      </w:r>
      <w:r w:rsidR="001B39B8">
        <w:rPr>
          <w:rFonts w:ascii="Times New Roman" w:hAnsi="Times New Roman" w:cs="Times New Roman"/>
          <w:b/>
          <w:bCs/>
          <w:sz w:val="22"/>
          <w:szCs w:val="22"/>
        </w:rPr>
        <w:t xml:space="preserve">WHEREAS, </w:t>
      </w:r>
      <w:r w:rsidR="001B39B8">
        <w:rPr>
          <w:rFonts w:ascii="Times New Roman" w:hAnsi="Times New Roman" w:cs="Times New Roman"/>
          <w:bCs/>
          <w:sz w:val="22"/>
          <w:szCs w:val="22"/>
        </w:rPr>
        <w:t xml:space="preserve">the Sea Girt Recreation Commission feels that it is in the best interest to locate an additional Platform Tennis Court in an area where </w:t>
      </w:r>
      <w:r w:rsidR="00646AA8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1A5800">
        <w:rPr>
          <w:rFonts w:ascii="Times New Roman" w:hAnsi="Times New Roman" w:cs="Times New Roman"/>
          <w:bCs/>
          <w:sz w:val="22"/>
          <w:szCs w:val="22"/>
        </w:rPr>
        <w:t xml:space="preserve">Platform Tennis Court </w:t>
      </w:r>
      <w:r w:rsidR="001B39B8">
        <w:rPr>
          <w:rFonts w:ascii="Times New Roman" w:hAnsi="Times New Roman" w:cs="Times New Roman"/>
          <w:bCs/>
          <w:sz w:val="22"/>
          <w:szCs w:val="22"/>
        </w:rPr>
        <w:t>infrastructure already exists and,</w:t>
      </w:r>
    </w:p>
    <w:p w:rsidR="001A5800" w:rsidRDefault="001A5800" w:rsidP="00D90BA1">
      <w:pPr>
        <w:rPr>
          <w:rFonts w:ascii="Times New Roman" w:hAnsi="Times New Roman" w:cs="Times New Roman"/>
          <w:bCs/>
          <w:sz w:val="22"/>
          <w:szCs w:val="22"/>
        </w:rPr>
      </w:pPr>
    </w:p>
    <w:p w:rsidR="001B39B8" w:rsidRDefault="001A5800" w:rsidP="00D90BA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="001B39B8" w:rsidRPr="00646AA8">
        <w:rPr>
          <w:rFonts w:ascii="Times New Roman" w:hAnsi="Times New Roman" w:cs="Times New Roman"/>
          <w:b/>
          <w:bCs/>
          <w:sz w:val="22"/>
          <w:szCs w:val="22"/>
        </w:rPr>
        <w:t>WHEREAS</w:t>
      </w:r>
      <w:r w:rsidR="001B39B8">
        <w:rPr>
          <w:rFonts w:ascii="Times New Roman" w:hAnsi="Times New Roman" w:cs="Times New Roman"/>
          <w:bCs/>
          <w:sz w:val="22"/>
          <w:szCs w:val="22"/>
        </w:rPr>
        <w:t xml:space="preserve">, the Sea Girt Recreation Commission </w:t>
      </w:r>
      <w:r>
        <w:rPr>
          <w:rFonts w:ascii="Times New Roman" w:hAnsi="Times New Roman" w:cs="Times New Roman"/>
          <w:bCs/>
          <w:sz w:val="22"/>
          <w:szCs w:val="22"/>
        </w:rPr>
        <w:t xml:space="preserve">certifies that Recreation Trust funds are available for this project </w:t>
      </w:r>
      <w:r w:rsidR="00646AA8">
        <w:rPr>
          <w:rFonts w:ascii="Times New Roman" w:hAnsi="Times New Roman" w:cs="Times New Roman"/>
          <w:bCs/>
          <w:sz w:val="22"/>
          <w:szCs w:val="22"/>
        </w:rPr>
        <w:t>based on e</w:t>
      </w:r>
      <w:r w:rsidR="002B445F">
        <w:rPr>
          <w:rFonts w:ascii="Times New Roman" w:hAnsi="Times New Roman" w:cs="Times New Roman"/>
          <w:bCs/>
          <w:sz w:val="22"/>
          <w:szCs w:val="22"/>
        </w:rPr>
        <w:t xml:space="preserve">ngineering estimates submitted </w:t>
      </w:r>
      <w:r>
        <w:rPr>
          <w:rFonts w:ascii="Times New Roman" w:hAnsi="Times New Roman" w:cs="Times New Roman"/>
          <w:bCs/>
          <w:sz w:val="22"/>
          <w:szCs w:val="22"/>
        </w:rPr>
        <w:t>and authorizes the expenditure of Recreation Trust funds for the engineering and construction of this project.</w:t>
      </w:r>
    </w:p>
    <w:p w:rsidR="001A5800" w:rsidRDefault="001A5800" w:rsidP="00D90BA1">
      <w:pPr>
        <w:rPr>
          <w:rFonts w:ascii="Times New Roman" w:hAnsi="Times New Roman" w:cs="Times New Roman"/>
          <w:bCs/>
          <w:sz w:val="22"/>
          <w:szCs w:val="22"/>
        </w:rPr>
      </w:pPr>
    </w:p>
    <w:p w:rsidR="001A5800" w:rsidRDefault="001A5800" w:rsidP="00D90BA1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 w:rsidRPr="00646AA8">
        <w:rPr>
          <w:rFonts w:ascii="Times New Roman" w:hAnsi="Times New Roman" w:cs="Times New Roman"/>
          <w:b/>
          <w:bCs/>
          <w:sz w:val="22"/>
          <w:szCs w:val="22"/>
        </w:rPr>
        <w:t>NOW THEREFORE BE IT RESOLVED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B445F">
        <w:rPr>
          <w:rFonts w:ascii="Times New Roman" w:hAnsi="Times New Roman" w:cs="Times New Roman"/>
          <w:bCs/>
          <w:sz w:val="22"/>
          <w:szCs w:val="22"/>
        </w:rPr>
        <w:t>by</w:t>
      </w:r>
      <w:r>
        <w:rPr>
          <w:rFonts w:ascii="Times New Roman" w:hAnsi="Times New Roman" w:cs="Times New Roman"/>
          <w:bCs/>
          <w:sz w:val="22"/>
          <w:szCs w:val="22"/>
        </w:rPr>
        <w:t xml:space="preserve"> the Recreation Commission </w:t>
      </w:r>
      <w:r w:rsidR="002B445F">
        <w:rPr>
          <w:rFonts w:ascii="Times New Roman" w:hAnsi="Times New Roman" w:cs="Times New Roman"/>
          <w:bCs/>
          <w:sz w:val="22"/>
          <w:szCs w:val="22"/>
        </w:rPr>
        <w:t>of the Borough of Sea Girt that:</w:t>
      </w:r>
    </w:p>
    <w:p w:rsidR="002B445F" w:rsidRDefault="002B445F" w:rsidP="002B4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 Recreation Commission promotes and endorses the placement of an additional Platform Tennis Court at Crescent Park.</w:t>
      </w:r>
    </w:p>
    <w:p w:rsidR="002B445F" w:rsidRDefault="002B445F" w:rsidP="002B4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 Recreation Commission authorizes expenditures associated with the Engineering and Construction of this project.</w:t>
      </w:r>
    </w:p>
    <w:p w:rsidR="002B445F" w:rsidRPr="002B445F" w:rsidRDefault="002B445F" w:rsidP="002B4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The Recreation Commission submits this Resolution to the Borough Council of the Borough of Sea Girt for consideration regarding the use of the space </w:t>
      </w:r>
      <w:r w:rsidR="001943FA">
        <w:rPr>
          <w:rFonts w:ascii="Times New Roman" w:hAnsi="Times New Roman" w:cs="Times New Roman"/>
          <w:bCs/>
          <w:sz w:val="22"/>
          <w:szCs w:val="22"/>
        </w:rPr>
        <w:t>identified for this purpose.</w:t>
      </w:r>
    </w:p>
    <w:p w:rsidR="00D90BA1" w:rsidRPr="00D90BA1" w:rsidRDefault="00D90BA1" w:rsidP="00D90BA1">
      <w:pPr>
        <w:rPr>
          <w:rFonts w:ascii="Times New Roman" w:hAnsi="Times New Roman" w:cs="Times New Roman"/>
          <w:bCs/>
          <w:sz w:val="16"/>
          <w:szCs w:val="16"/>
        </w:rPr>
      </w:pPr>
    </w:p>
    <w:p w:rsidR="00D90BA1" w:rsidRPr="00D90BA1" w:rsidRDefault="00D90BA1" w:rsidP="00D90BA1">
      <w:pPr>
        <w:rPr>
          <w:rFonts w:ascii="Times New Roman" w:hAnsi="Times New Roman" w:cs="Times New Roman"/>
          <w:bCs/>
          <w:sz w:val="22"/>
          <w:szCs w:val="22"/>
        </w:rPr>
      </w:pPr>
      <w:r w:rsidRPr="00D90BA1">
        <w:rPr>
          <w:rFonts w:ascii="Times New Roman" w:hAnsi="Times New Roman" w:cs="Times New Roman"/>
          <w:bCs/>
          <w:sz w:val="22"/>
          <w:szCs w:val="22"/>
        </w:rPr>
        <w:tab/>
      </w:r>
      <w:r w:rsidRPr="00D90BA1">
        <w:rPr>
          <w:rFonts w:ascii="Times New Roman" w:hAnsi="Times New Roman" w:cs="Times New Roman"/>
          <w:b/>
          <w:bCs/>
          <w:sz w:val="22"/>
          <w:szCs w:val="22"/>
        </w:rPr>
        <w:t>BE IT FURTHER RESOLVED</w:t>
      </w:r>
      <w:r w:rsidRPr="00D90BA1">
        <w:rPr>
          <w:rFonts w:ascii="Times New Roman" w:hAnsi="Times New Roman" w:cs="Times New Roman"/>
          <w:bCs/>
          <w:sz w:val="22"/>
          <w:szCs w:val="22"/>
        </w:rPr>
        <w:t xml:space="preserve"> that a certified copy of this Resolution shall be supplied to Sea Girt Recreation </w:t>
      </w:r>
      <w:r w:rsidR="00006EEE">
        <w:rPr>
          <w:rFonts w:ascii="Times New Roman" w:hAnsi="Times New Roman" w:cs="Times New Roman"/>
          <w:bCs/>
          <w:sz w:val="22"/>
          <w:szCs w:val="22"/>
        </w:rPr>
        <w:t xml:space="preserve">and Police Chief Macko </w:t>
      </w:r>
      <w:r w:rsidRPr="00D90BA1">
        <w:rPr>
          <w:rFonts w:ascii="Times New Roman" w:hAnsi="Times New Roman" w:cs="Times New Roman"/>
          <w:bCs/>
          <w:sz w:val="22"/>
          <w:szCs w:val="22"/>
        </w:rPr>
        <w:t>for its information.</w:t>
      </w:r>
    </w:p>
    <w:p w:rsidR="00D90BA1" w:rsidRPr="00D90BA1" w:rsidRDefault="00D90BA1" w:rsidP="00D90BA1">
      <w:pPr>
        <w:rPr>
          <w:rFonts w:ascii="Times New Roman" w:hAnsi="Times New Roman" w:cs="Times New Roman"/>
          <w:bCs/>
          <w:sz w:val="22"/>
          <w:szCs w:val="22"/>
        </w:rPr>
      </w:pPr>
    </w:p>
    <w:p w:rsidR="00D90BA1" w:rsidRPr="00D90BA1" w:rsidRDefault="00D90BA1" w:rsidP="00D90BA1">
      <w:pPr>
        <w:ind w:left="720"/>
        <w:rPr>
          <w:rFonts w:ascii="Times New Roman" w:hAnsi="Times New Roman" w:cs="Times New Roman"/>
          <w:sz w:val="16"/>
          <w:szCs w:val="16"/>
        </w:rPr>
      </w:pPr>
      <w:r w:rsidRPr="00D90BA1">
        <w:rPr>
          <w:rFonts w:ascii="Times New Roman" w:hAnsi="Times New Roman" w:cs="Times New Roman"/>
          <w:sz w:val="22"/>
          <w:szCs w:val="22"/>
        </w:rPr>
        <w:t>Recorded Vote: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20"/>
        <w:gridCol w:w="900"/>
        <w:gridCol w:w="1080"/>
        <w:gridCol w:w="990"/>
      </w:tblGrid>
      <w:tr w:rsidR="00D90BA1" w:rsidRPr="00D90BA1" w:rsidTr="00A97B24">
        <w:trPr>
          <w:jc w:val="center"/>
        </w:trPr>
        <w:tc>
          <w:tcPr>
            <w:tcW w:w="243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90BA1">
              <w:rPr>
                <w:rFonts w:ascii="Calibri" w:hAnsi="Calibri" w:cs="Times New Roman"/>
                <w:sz w:val="20"/>
                <w:szCs w:val="20"/>
              </w:rPr>
              <w:t>AYES</w:t>
            </w:r>
          </w:p>
        </w:tc>
        <w:tc>
          <w:tcPr>
            <w:tcW w:w="90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90BA1">
              <w:rPr>
                <w:rFonts w:ascii="Calibri" w:hAnsi="Calibri" w:cs="Times New Roman"/>
                <w:sz w:val="20"/>
                <w:szCs w:val="20"/>
              </w:rPr>
              <w:t>NAYS</w:t>
            </w:r>
          </w:p>
        </w:tc>
        <w:tc>
          <w:tcPr>
            <w:tcW w:w="108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90BA1">
              <w:rPr>
                <w:rFonts w:ascii="Calibri" w:hAnsi="Calibri" w:cs="Times New Roman"/>
                <w:sz w:val="20"/>
                <w:szCs w:val="20"/>
              </w:rPr>
              <w:t>ABSENT</w:t>
            </w:r>
          </w:p>
        </w:tc>
        <w:tc>
          <w:tcPr>
            <w:tcW w:w="99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90BA1">
              <w:rPr>
                <w:rFonts w:ascii="Calibri" w:hAnsi="Calibri" w:cs="Times New Roman"/>
                <w:sz w:val="20"/>
                <w:szCs w:val="20"/>
              </w:rPr>
              <w:t>ABSTAIN</w:t>
            </w:r>
          </w:p>
        </w:tc>
      </w:tr>
      <w:tr w:rsidR="00D90BA1" w:rsidRPr="00D90BA1" w:rsidTr="00A97B24">
        <w:trPr>
          <w:jc w:val="center"/>
        </w:trPr>
        <w:tc>
          <w:tcPr>
            <w:tcW w:w="2430" w:type="dxa"/>
          </w:tcPr>
          <w:p w:rsidR="00D90BA1" w:rsidRPr="00D90BA1" w:rsidRDefault="001943FA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Commissioner M. D’Altrui</w:t>
            </w:r>
          </w:p>
        </w:tc>
        <w:tc>
          <w:tcPr>
            <w:tcW w:w="72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90BA1" w:rsidRPr="00D90BA1" w:rsidTr="00A97B24">
        <w:trPr>
          <w:jc w:val="center"/>
        </w:trPr>
        <w:tc>
          <w:tcPr>
            <w:tcW w:w="2430" w:type="dxa"/>
          </w:tcPr>
          <w:p w:rsidR="00D90BA1" w:rsidRPr="00D90BA1" w:rsidRDefault="001943FA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Commissioner K. Reid</w:t>
            </w:r>
          </w:p>
        </w:tc>
        <w:tc>
          <w:tcPr>
            <w:tcW w:w="72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90BA1" w:rsidRPr="00D90BA1" w:rsidTr="00A97B24">
        <w:trPr>
          <w:jc w:val="center"/>
        </w:trPr>
        <w:tc>
          <w:tcPr>
            <w:tcW w:w="2430" w:type="dxa"/>
          </w:tcPr>
          <w:p w:rsidR="00D90BA1" w:rsidRPr="00D90BA1" w:rsidRDefault="001943FA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Commissioner L. Loughlin</w:t>
            </w:r>
          </w:p>
        </w:tc>
        <w:tc>
          <w:tcPr>
            <w:tcW w:w="72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90BA1" w:rsidRPr="00D90BA1" w:rsidTr="00A97B24">
        <w:trPr>
          <w:jc w:val="center"/>
        </w:trPr>
        <w:tc>
          <w:tcPr>
            <w:tcW w:w="2430" w:type="dxa"/>
          </w:tcPr>
          <w:p w:rsidR="00D90BA1" w:rsidRPr="00D90BA1" w:rsidRDefault="001943FA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Commissioner J. Perry</w:t>
            </w:r>
          </w:p>
        </w:tc>
        <w:tc>
          <w:tcPr>
            <w:tcW w:w="72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90BA1" w:rsidRPr="00D90BA1" w:rsidTr="00A97B24">
        <w:trPr>
          <w:jc w:val="center"/>
        </w:trPr>
        <w:tc>
          <w:tcPr>
            <w:tcW w:w="2430" w:type="dxa"/>
          </w:tcPr>
          <w:p w:rsidR="00D90BA1" w:rsidRPr="00D90BA1" w:rsidRDefault="001943FA" w:rsidP="001943FA">
            <w:pPr>
              <w:rPr>
                <w:rFonts w:ascii="Calibri" w:hAnsi="Calibri" w:cs="Times New Roman"/>
                <w:sz w:val="20"/>
                <w:szCs w:val="20"/>
              </w:rPr>
            </w:pPr>
            <w:r w:rsidRPr="001943FA">
              <w:rPr>
                <w:rFonts w:ascii="Calibri" w:hAnsi="Calibri" w:cs="Times New Roman"/>
                <w:sz w:val="20"/>
                <w:szCs w:val="20"/>
              </w:rPr>
              <w:t>Commissioner M. Leddy</w:t>
            </w:r>
          </w:p>
        </w:tc>
        <w:tc>
          <w:tcPr>
            <w:tcW w:w="72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90BA1" w:rsidRPr="00D90BA1" w:rsidRDefault="00D90BA1" w:rsidP="00D90BA1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0BA1" w:rsidRPr="00D90BA1" w:rsidRDefault="00D90BA1" w:rsidP="00D90BA1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D90BA1" w:rsidRPr="00D90BA1" w:rsidRDefault="00D90BA1" w:rsidP="00D90BA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07DBA" w:rsidRPr="00407DBA" w:rsidRDefault="00407DBA" w:rsidP="00407DBA">
      <w:pPr>
        <w:pBdr>
          <w:bottom w:val="doub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407DBA" w:rsidRPr="00407DBA" w:rsidRDefault="00407DBA" w:rsidP="00407DBA">
      <w:pPr>
        <w:rPr>
          <w:rFonts w:ascii="Times New Roman" w:hAnsi="Times New Roman" w:cs="Times New Roman"/>
          <w:sz w:val="20"/>
          <w:szCs w:val="20"/>
        </w:rPr>
      </w:pPr>
    </w:p>
    <w:p w:rsidR="00407DBA" w:rsidRPr="00407DBA" w:rsidRDefault="00C47D9F" w:rsidP="00407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I, _____________</w:t>
      </w:r>
      <w:r w:rsidR="00407DBA" w:rsidRPr="00407DBA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Secretary for the Sea Girt Recreation Commission</w:t>
      </w:r>
      <w:bookmarkStart w:id="0" w:name="_GoBack"/>
      <w:bookmarkEnd w:id="0"/>
      <w:r w:rsidR="00407DBA" w:rsidRPr="00407DBA">
        <w:rPr>
          <w:rFonts w:ascii="Times New Roman" w:hAnsi="Times New Roman" w:cs="Times New Roman"/>
          <w:sz w:val="20"/>
          <w:szCs w:val="20"/>
        </w:rPr>
        <w:t xml:space="preserve">, do hereby </w:t>
      </w:r>
      <w:r w:rsidR="00407DBA" w:rsidRPr="00407DBA">
        <w:rPr>
          <w:rFonts w:ascii="Times New Roman" w:hAnsi="Times New Roman" w:cs="Times New Roman"/>
          <w:i/>
          <w:sz w:val="20"/>
          <w:szCs w:val="20"/>
        </w:rPr>
        <w:t>certify</w:t>
      </w:r>
      <w:r w:rsidR="00407DBA" w:rsidRPr="00407DBA">
        <w:rPr>
          <w:rFonts w:ascii="Times New Roman" w:hAnsi="Times New Roman" w:cs="Times New Roman"/>
          <w:sz w:val="20"/>
          <w:szCs w:val="20"/>
        </w:rPr>
        <w:t xml:space="preserve"> that the foregoing resolution was duly adopted by the </w:t>
      </w:r>
      <w:r w:rsidR="001943FA">
        <w:rPr>
          <w:rFonts w:ascii="Times New Roman" w:hAnsi="Times New Roman" w:cs="Times New Roman"/>
          <w:sz w:val="20"/>
          <w:szCs w:val="20"/>
        </w:rPr>
        <w:t>Recreation Commission</w:t>
      </w:r>
      <w:r w:rsidR="00407DBA">
        <w:rPr>
          <w:rFonts w:ascii="Times New Roman" w:hAnsi="Times New Roman" w:cs="Times New Roman"/>
          <w:sz w:val="20"/>
          <w:szCs w:val="20"/>
        </w:rPr>
        <w:t xml:space="preserve"> at the </w:t>
      </w:r>
      <w:r w:rsidR="001943FA">
        <w:rPr>
          <w:rFonts w:ascii="Times New Roman" w:hAnsi="Times New Roman" w:cs="Times New Roman"/>
          <w:sz w:val="20"/>
          <w:szCs w:val="20"/>
        </w:rPr>
        <w:t>May 23</w:t>
      </w:r>
      <w:r w:rsidR="00407DBA" w:rsidRPr="00407DBA">
        <w:rPr>
          <w:rFonts w:ascii="Times New Roman" w:hAnsi="Times New Roman" w:cs="Times New Roman"/>
          <w:sz w:val="20"/>
          <w:szCs w:val="20"/>
        </w:rPr>
        <w:t>, 2022 meeting.</w:t>
      </w:r>
    </w:p>
    <w:p w:rsidR="00407DBA" w:rsidRPr="00407DBA" w:rsidRDefault="00407DBA" w:rsidP="00407DB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07DBA" w:rsidRPr="00407DBA" w:rsidRDefault="00407DBA" w:rsidP="00407DBA">
      <w:pPr>
        <w:rPr>
          <w:rFonts w:ascii="Times New Roman" w:hAnsi="Times New Roman" w:cs="Times New Roman"/>
          <w:sz w:val="20"/>
          <w:szCs w:val="20"/>
        </w:rPr>
      </w:pPr>
    </w:p>
    <w:p w:rsidR="00407DBA" w:rsidRPr="00407DBA" w:rsidRDefault="00407DBA" w:rsidP="00407DBA">
      <w:pPr>
        <w:rPr>
          <w:rFonts w:ascii="Times New Roman" w:hAnsi="Times New Roman" w:cs="Times New Roman"/>
          <w:sz w:val="22"/>
          <w:szCs w:val="22"/>
        </w:rPr>
      </w:pPr>
      <w:r w:rsidRPr="00407DBA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07DBA" w:rsidRPr="00D90BA1" w:rsidRDefault="00407DBA" w:rsidP="00D90BA1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07DBA" w:rsidRPr="00D90BA1" w:rsidSect="00781DF8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641F1"/>
    <w:multiLevelType w:val="hybridMultilevel"/>
    <w:tmpl w:val="8DB2601A"/>
    <w:lvl w:ilvl="0" w:tplc="846C9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A1"/>
    <w:rsid w:val="00006EEE"/>
    <w:rsid w:val="001943FA"/>
    <w:rsid w:val="001A5800"/>
    <w:rsid w:val="001B39B8"/>
    <w:rsid w:val="002B445F"/>
    <w:rsid w:val="003912F7"/>
    <w:rsid w:val="00407DBA"/>
    <w:rsid w:val="00433F8F"/>
    <w:rsid w:val="00461A14"/>
    <w:rsid w:val="0061469C"/>
    <w:rsid w:val="00646AA8"/>
    <w:rsid w:val="00781DF8"/>
    <w:rsid w:val="008233DB"/>
    <w:rsid w:val="00B136EC"/>
    <w:rsid w:val="00B94D37"/>
    <w:rsid w:val="00BA6FFF"/>
    <w:rsid w:val="00BC2619"/>
    <w:rsid w:val="00C47D9F"/>
    <w:rsid w:val="00C502F0"/>
    <w:rsid w:val="00D33F8C"/>
    <w:rsid w:val="00D90BA1"/>
    <w:rsid w:val="00E47833"/>
    <w:rsid w:val="00E65E10"/>
    <w:rsid w:val="00EC3397"/>
    <w:rsid w:val="00F437C6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A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Gant</dc:creator>
  <cp:lastModifiedBy>Stacey Goodwin</cp:lastModifiedBy>
  <cp:revision>2</cp:revision>
  <cp:lastPrinted>2022-05-20T19:17:00Z</cp:lastPrinted>
  <dcterms:created xsi:type="dcterms:W3CDTF">2022-05-20T19:18:00Z</dcterms:created>
  <dcterms:modified xsi:type="dcterms:W3CDTF">2022-05-20T19:18:00Z</dcterms:modified>
</cp:coreProperties>
</file>